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BC" w:rsidRPr="001E7271" w:rsidRDefault="00993BBC" w:rsidP="00993BBC">
      <w:pPr>
        <w:jc w:val="center"/>
        <w:rPr>
          <w:rFonts w:ascii="宋体" w:hAnsi="宋体"/>
          <w:b/>
          <w:color w:val="000000"/>
          <w:sz w:val="24"/>
        </w:rPr>
      </w:pPr>
      <w:r w:rsidRPr="000E7169">
        <w:rPr>
          <w:rFonts w:ascii="黑体" w:eastAsia="黑体" w:hAnsi="宋体" w:hint="eastAsia"/>
          <w:b/>
          <w:szCs w:val="21"/>
        </w:rPr>
        <w:t xml:space="preserve">股票简称：小天鹅A　小天鹅B　</w:t>
      </w:r>
      <w:r w:rsidR="0014373B">
        <w:rPr>
          <w:rFonts w:ascii="黑体" w:eastAsia="黑体" w:hAnsi="宋体" w:hint="eastAsia"/>
          <w:b/>
          <w:szCs w:val="21"/>
        </w:rPr>
        <w:t xml:space="preserve">  </w:t>
      </w:r>
      <w:r w:rsidRPr="000E7169">
        <w:rPr>
          <w:rFonts w:ascii="黑体" w:eastAsia="黑体" w:hAnsi="宋体" w:hint="eastAsia"/>
          <w:b/>
          <w:szCs w:val="21"/>
        </w:rPr>
        <w:t xml:space="preserve"> 股票代码：000418　200418　 </w:t>
      </w:r>
      <w:r w:rsidR="0014373B">
        <w:rPr>
          <w:rFonts w:ascii="黑体" w:eastAsia="黑体" w:hAnsi="宋体" w:hint="eastAsia"/>
          <w:b/>
          <w:szCs w:val="21"/>
        </w:rPr>
        <w:t xml:space="preserve">  </w:t>
      </w:r>
      <w:r w:rsidRPr="000E7169">
        <w:rPr>
          <w:rFonts w:ascii="黑体" w:eastAsia="黑体" w:hAnsi="宋体" w:hint="eastAsia"/>
          <w:b/>
          <w:szCs w:val="21"/>
        </w:rPr>
        <w:t>公告编号：</w:t>
      </w:r>
      <w:r w:rsidRPr="00114551">
        <w:rPr>
          <w:rFonts w:ascii="黑体" w:eastAsia="黑体" w:hAnsi="宋体" w:hint="eastAsia"/>
          <w:b/>
          <w:szCs w:val="21"/>
        </w:rPr>
        <w:t>201</w:t>
      </w:r>
      <w:r w:rsidR="0086623D">
        <w:rPr>
          <w:rFonts w:ascii="黑体" w:eastAsia="黑体" w:hAnsi="宋体" w:hint="eastAsia"/>
          <w:b/>
          <w:color w:val="000000"/>
          <w:szCs w:val="21"/>
        </w:rPr>
        <w:t>7</w:t>
      </w:r>
      <w:r w:rsidRPr="001E7271">
        <w:rPr>
          <w:rFonts w:ascii="黑体" w:eastAsia="黑体" w:hAnsi="宋体" w:hint="eastAsia"/>
          <w:b/>
          <w:color w:val="000000"/>
          <w:szCs w:val="21"/>
        </w:rPr>
        <w:t>-</w:t>
      </w:r>
      <w:r w:rsidR="00D264BE">
        <w:rPr>
          <w:rFonts w:ascii="黑体" w:eastAsia="黑体" w:hAnsi="宋体" w:hint="eastAsia"/>
          <w:b/>
          <w:color w:val="000000"/>
          <w:szCs w:val="21"/>
        </w:rPr>
        <w:t>22</w:t>
      </w:r>
    </w:p>
    <w:p w:rsidR="00993BBC" w:rsidRPr="00993BBC" w:rsidRDefault="00993BBC" w:rsidP="00993BBC">
      <w:pPr>
        <w:snapToGrid w:val="0"/>
        <w:jc w:val="center"/>
        <w:rPr>
          <w:rFonts w:ascii="黑体" w:eastAsia="黑体" w:hAnsi="黑体"/>
          <w:b/>
          <w:bCs/>
          <w:szCs w:val="21"/>
        </w:rPr>
      </w:pPr>
    </w:p>
    <w:p w:rsidR="00993BBC" w:rsidRDefault="00993BBC" w:rsidP="00993BBC">
      <w:pPr>
        <w:snapToGrid w:val="0"/>
        <w:spacing w:line="500" w:lineRule="exact"/>
        <w:jc w:val="center"/>
        <w:rPr>
          <w:rFonts w:ascii="黑体" w:eastAsia="黑体" w:hAnsi="宋体"/>
          <w:b/>
          <w:bCs/>
          <w:sz w:val="30"/>
          <w:szCs w:val="30"/>
        </w:rPr>
      </w:pPr>
      <w:r>
        <w:rPr>
          <w:rFonts w:ascii="黑体" w:eastAsia="黑体" w:hAnsi="宋体" w:hint="eastAsia"/>
          <w:b/>
          <w:bCs/>
          <w:sz w:val="30"/>
          <w:szCs w:val="30"/>
        </w:rPr>
        <w:t>无锡小天鹅股份有限公司</w:t>
      </w:r>
    </w:p>
    <w:p w:rsidR="00993BBC" w:rsidRDefault="00993BBC" w:rsidP="00993BBC">
      <w:pPr>
        <w:snapToGrid w:val="0"/>
        <w:spacing w:line="500" w:lineRule="exact"/>
        <w:jc w:val="center"/>
        <w:rPr>
          <w:rFonts w:ascii="黑体" w:eastAsia="黑体" w:hAnsi="宋体"/>
          <w:b/>
          <w:bCs/>
          <w:sz w:val="30"/>
          <w:szCs w:val="30"/>
        </w:rPr>
      </w:pPr>
      <w:r w:rsidRPr="007220F6">
        <w:rPr>
          <w:rFonts w:ascii="黑体" w:eastAsia="黑体" w:hAnsi="宋体" w:hint="eastAsia"/>
          <w:b/>
          <w:bCs/>
          <w:sz w:val="30"/>
          <w:szCs w:val="30"/>
        </w:rPr>
        <w:t>关于调整201</w:t>
      </w:r>
      <w:r w:rsidR="0086623D">
        <w:rPr>
          <w:rFonts w:ascii="黑体" w:eastAsia="黑体" w:hAnsi="宋体" w:hint="eastAsia"/>
          <w:b/>
          <w:bCs/>
          <w:sz w:val="30"/>
          <w:szCs w:val="30"/>
        </w:rPr>
        <w:t>7</w:t>
      </w:r>
      <w:r w:rsidRPr="007220F6">
        <w:rPr>
          <w:rFonts w:ascii="黑体" w:eastAsia="黑体" w:hAnsi="宋体" w:hint="eastAsia"/>
          <w:b/>
          <w:bCs/>
          <w:sz w:val="30"/>
          <w:szCs w:val="30"/>
        </w:rPr>
        <w:t>年度日常关联交易额度的公告</w:t>
      </w:r>
    </w:p>
    <w:p w:rsidR="00993BBC" w:rsidRPr="00AF7630" w:rsidRDefault="00993BBC" w:rsidP="00993BBC">
      <w:pPr>
        <w:snapToGrid w:val="0"/>
        <w:spacing w:line="500" w:lineRule="exact"/>
        <w:jc w:val="center"/>
        <w:rPr>
          <w:rFonts w:ascii="黑体" w:eastAsia="黑体" w:hAnsi="宋体"/>
          <w:b/>
          <w:bCs/>
          <w:sz w:val="30"/>
          <w:szCs w:val="30"/>
        </w:rPr>
      </w:pPr>
    </w:p>
    <w:p w:rsidR="00993BBC" w:rsidRDefault="00993BBC" w:rsidP="00993BBC">
      <w:pPr>
        <w:pStyle w:val="a3"/>
        <w:ind w:firstLineChars="200" w:firstLine="482"/>
        <w:rPr>
          <w:rStyle w:val="da"/>
          <w:rFonts w:hAnsi="黑体"/>
          <w:color w:val="000000"/>
          <w:sz w:val="24"/>
        </w:rPr>
      </w:pPr>
      <w:r>
        <w:rPr>
          <w:rStyle w:val="da"/>
          <w:rFonts w:ascii="黑体" w:eastAsia="黑体" w:hAnsi="黑体" w:hint="eastAsia"/>
          <w:b/>
          <w:color w:val="000000"/>
          <w:sz w:val="24"/>
        </w:rPr>
        <w:t>本公司及董事会全体成员保证信息披露内容的真实、准确和完整，没有虚假记载、误导性陈述或重大遗漏。</w:t>
      </w:r>
    </w:p>
    <w:p w:rsidR="00993BBC" w:rsidRDefault="00993BBC" w:rsidP="00993BBC">
      <w:pPr>
        <w:pStyle w:val="a3"/>
        <w:ind w:firstLineChars="200" w:firstLine="482"/>
        <w:rPr>
          <w:rStyle w:val="da"/>
          <w:rFonts w:ascii="黑体" w:eastAsia="黑体" w:hAnsi="黑体"/>
          <w:b/>
          <w:color w:val="000000"/>
          <w:sz w:val="24"/>
        </w:rPr>
      </w:pPr>
    </w:p>
    <w:p w:rsidR="00993BBC" w:rsidRDefault="00993BBC" w:rsidP="00993BBC">
      <w:pPr>
        <w:spacing w:line="420" w:lineRule="exact"/>
        <w:rPr>
          <w:rFonts w:hAnsi="宋体"/>
        </w:rPr>
      </w:pPr>
      <w:r>
        <w:rPr>
          <w:rFonts w:ascii="黑体" w:eastAsia="黑体" w:hAnsi="宋体" w:hint="eastAsia"/>
          <w:b/>
          <w:sz w:val="24"/>
        </w:rPr>
        <w:t>释义：</w:t>
      </w:r>
    </w:p>
    <w:p w:rsidR="00993BBC" w:rsidRPr="005F52CA" w:rsidRDefault="00993BBC" w:rsidP="00993BBC">
      <w:pPr>
        <w:spacing w:line="420" w:lineRule="exact"/>
        <w:rPr>
          <w:rFonts w:ascii="宋体" w:hAnsi="宋体"/>
          <w:sz w:val="24"/>
        </w:rPr>
      </w:pPr>
      <w:r w:rsidRPr="005F52CA">
        <w:rPr>
          <w:rFonts w:ascii="宋体" w:hAnsi="宋体" w:hint="eastAsia"/>
          <w:sz w:val="24"/>
        </w:rPr>
        <w:t>本公司(或“公司”)：无锡小天鹅股份有限公司</w:t>
      </w:r>
    </w:p>
    <w:p w:rsidR="007220F6" w:rsidRDefault="005910A2" w:rsidP="00613A03">
      <w:pPr>
        <w:spacing w:line="420" w:lineRule="exact"/>
        <w:rPr>
          <w:rFonts w:ascii="宋体" w:hAnsi="宋体"/>
          <w:sz w:val="24"/>
        </w:rPr>
      </w:pPr>
      <w:r>
        <w:rPr>
          <w:rFonts w:ascii="宋体" w:hAnsi="宋体" w:hint="eastAsia"/>
          <w:sz w:val="24"/>
        </w:rPr>
        <w:t>宁波美的联合物资：宁波美的联合物资供应有限公司</w:t>
      </w:r>
    </w:p>
    <w:p w:rsidR="005910A2" w:rsidRPr="00457014" w:rsidRDefault="005910A2" w:rsidP="007C0F14">
      <w:pPr>
        <w:autoSpaceDE w:val="0"/>
        <w:autoSpaceDN w:val="0"/>
        <w:adjustRightInd w:val="0"/>
        <w:spacing w:line="480" w:lineRule="auto"/>
        <w:jc w:val="left"/>
        <w:rPr>
          <w:rFonts w:ascii="宋体" w:hAnsi="宋体"/>
          <w:b/>
          <w:bCs/>
          <w:sz w:val="24"/>
        </w:rPr>
      </w:pPr>
    </w:p>
    <w:p w:rsidR="0082719F" w:rsidRPr="0082719F" w:rsidRDefault="0082719F" w:rsidP="0094415A">
      <w:pPr>
        <w:autoSpaceDE w:val="0"/>
        <w:autoSpaceDN w:val="0"/>
        <w:adjustRightInd w:val="0"/>
        <w:spacing w:line="360" w:lineRule="auto"/>
        <w:rPr>
          <w:rFonts w:ascii="宋体" w:hAnsi="宋体"/>
          <w:b/>
          <w:bCs/>
          <w:sz w:val="24"/>
        </w:rPr>
      </w:pPr>
      <w:r w:rsidRPr="0082719F">
        <w:rPr>
          <w:rFonts w:ascii="宋体" w:hAnsi="宋体" w:hint="eastAsia"/>
          <w:b/>
          <w:bCs/>
          <w:sz w:val="24"/>
        </w:rPr>
        <w:t>一、日常关联交易基本情况</w:t>
      </w:r>
      <w:r w:rsidRPr="0082719F">
        <w:rPr>
          <w:rFonts w:ascii="宋体" w:hAnsi="宋体"/>
          <w:b/>
          <w:bCs/>
          <w:sz w:val="24"/>
        </w:rPr>
        <w:t xml:space="preserve"> </w:t>
      </w:r>
    </w:p>
    <w:p w:rsidR="0082719F" w:rsidRPr="0082719F" w:rsidRDefault="009A5651" w:rsidP="0094415A">
      <w:pPr>
        <w:autoSpaceDE w:val="0"/>
        <w:autoSpaceDN w:val="0"/>
        <w:adjustRightInd w:val="0"/>
        <w:spacing w:line="360" w:lineRule="auto"/>
        <w:ind w:firstLineChars="196" w:firstLine="472"/>
        <w:rPr>
          <w:rFonts w:ascii="宋体" w:hAnsi="宋体"/>
          <w:b/>
          <w:sz w:val="24"/>
        </w:rPr>
      </w:pPr>
      <w:r>
        <w:rPr>
          <w:rFonts w:ascii="宋体" w:hAnsi="宋体" w:hint="eastAsia"/>
          <w:b/>
          <w:sz w:val="24"/>
        </w:rPr>
        <w:t>1、</w:t>
      </w:r>
      <w:r w:rsidR="0082719F" w:rsidRPr="0082719F">
        <w:rPr>
          <w:rFonts w:ascii="宋体" w:hAnsi="宋体" w:hint="eastAsia"/>
          <w:b/>
          <w:sz w:val="24"/>
        </w:rPr>
        <w:t>关联交易概述</w:t>
      </w:r>
      <w:r w:rsidR="0082719F" w:rsidRPr="0082719F">
        <w:rPr>
          <w:rFonts w:ascii="宋体" w:hAnsi="宋体"/>
          <w:b/>
          <w:sz w:val="24"/>
        </w:rPr>
        <w:t xml:space="preserve"> </w:t>
      </w:r>
    </w:p>
    <w:p w:rsidR="00457014" w:rsidRDefault="007173D1" w:rsidP="00457014">
      <w:pPr>
        <w:autoSpaceDE w:val="0"/>
        <w:autoSpaceDN w:val="0"/>
        <w:spacing w:line="360" w:lineRule="auto"/>
        <w:ind w:firstLineChars="200" w:firstLine="480"/>
        <w:rPr>
          <w:rFonts w:ascii="宋体" w:hAnsi="宋体"/>
          <w:sz w:val="24"/>
        </w:rPr>
      </w:pPr>
      <w:r>
        <w:rPr>
          <w:rFonts w:ascii="宋体" w:hAnsi="宋体" w:hint="eastAsia"/>
          <w:sz w:val="24"/>
        </w:rPr>
        <w:t>（1）</w:t>
      </w:r>
      <w:r w:rsidR="00457014">
        <w:rPr>
          <w:rFonts w:ascii="宋体" w:hAnsi="宋体" w:hint="eastAsia"/>
          <w:sz w:val="24"/>
        </w:rPr>
        <w:t>本公司于2017年4月10日召开的2016年年度股东大会审议通过了《关于2017年度预计公司日常关联交易的议案》,并于2017年8月3日召开的第八届董事会第十一次会议审议通过了《关于调整2017年度日常关联交易额度的议案》。现因公司业务发展需要，拟调增</w:t>
      </w:r>
      <w:r w:rsidR="00457014" w:rsidRPr="00653024">
        <w:rPr>
          <w:rFonts w:ascii="宋体" w:hAnsi="宋体" w:hint="eastAsia"/>
          <w:sz w:val="24"/>
        </w:rPr>
        <w:t>宁波美的</w:t>
      </w:r>
      <w:r w:rsidR="00457014">
        <w:rPr>
          <w:rFonts w:ascii="宋体" w:hAnsi="宋体" w:hint="eastAsia"/>
          <w:sz w:val="24"/>
        </w:rPr>
        <w:t>联合</w:t>
      </w:r>
      <w:r w:rsidR="00457014" w:rsidRPr="00653024">
        <w:rPr>
          <w:rFonts w:ascii="宋体" w:hAnsi="宋体" w:hint="eastAsia"/>
          <w:sz w:val="24"/>
        </w:rPr>
        <w:t>物资</w:t>
      </w:r>
      <w:r w:rsidR="00457014">
        <w:rPr>
          <w:rFonts w:ascii="宋体" w:hAnsi="宋体" w:hint="eastAsia"/>
          <w:sz w:val="24"/>
        </w:rPr>
        <w:t>2017年日常关联交易额度,</w:t>
      </w:r>
      <w:r w:rsidR="00457014" w:rsidRPr="00457014">
        <w:rPr>
          <w:rFonts w:ascii="宋体" w:hAnsi="宋体" w:hint="eastAsia"/>
          <w:sz w:val="24"/>
        </w:rPr>
        <w:t xml:space="preserve"> </w:t>
      </w:r>
      <w:r w:rsidR="00457014" w:rsidRPr="002C42C7">
        <w:rPr>
          <w:rFonts w:ascii="宋体" w:hAnsi="宋体" w:hint="eastAsia"/>
          <w:sz w:val="24"/>
        </w:rPr>
        <w:t>本公司及控股子公司原预计201</w:t>
      </w:r>
      <w:r w:rsidR="00457014">
        <w:rPr>
          <w:rFonts w:ascii="宋体" w:hAnsi="宋体" w:hint="eastAsia"/>
          <w:sz w:val="24"/>
        </w:rPr>
        <w:t>7</w:t>
      </w:r>
      <w:r w:rsidR="00457014" w:rsidRPr="002C42C7">
        <w:rPr>
          <w:rFonts w:ascii="宋体" w:hAnsi="宋体" w:hint="eastAsia"/>
          <w:sz w:val="24"/>
        </w:rPr>
        <w:t>年度与</w:t>
      </w:r>
      <w:r w:rsidR="00457014">
        <w:rPr>
          <w:rFonts w:ascii="宋体" w:hAnsi="宋体" w:hint="eastAsia"/>
          <w:sz w:val="24"/>
        </w:rPr>
        <w:t>宁波美的联合物资</w:t>
      </w:r>
      <w:r w:rsidR="00457014" w:rsidRPr="002C42C7">
        <w:rPr>
          <w:rFonts w:ascii="宋体" w:hAnsi="宋体" w:hint="eastAsia"/>
          <w:sz w:val="24"/>
        </w:rPr>
        <w:t>的日常关联交易总额为</w:t>
      </w:r>
      <w:r w:rsidR="00457014" w:rsidRPr="00674C17">
        <w:rPr>
          <w:rFonts w:ascii="宋体" w:hAnsi="宋体" w:hint="eastAsia"/>
          <w:sz w:val="24"/>
        </w:rPr>
        <w:t>166,000</w:t>
      </w:r>
      <w:r w:rsidR="00457014" w:rsidRPr="002C42C7">
        <w:rPr>
          <w:rFonts w:ascii="宋体" w:hAnsi="宋体" w:hint="eastAsia"/>
          <w:sz w:val="24"/>
        </w:rPr>
        <w:t>万元，现申请调增</w:t>
      </w:r>
      <w:r w:rsidR="00457014">
        <w:rPr>
          <w:rFonts w:ascii="宋体" w:hAnsi="宋体" w:hint="eastAsia"/>
          <w:sz w:val="24"/>
        </w:rPr>
        <w:t>27</w:t>
      </w:r>
      <w:r w:rsidR="00457014" w:rsidRPr="002C42C7">
        <w:rPr>
          <w:rFonts w:ascii="宋体" w:hAnsi="宋体" w:hint="eastAsia"/>
          <w:sz w:val="24"/>
        </w:rPr>
        <w:t>,</w:t>
      </w:r>
      <w:r w:rsidR="00457014">
        <w:rPr>
          <w:rFonts w:ascii="宋体" w:hAnsi="宋体" w:hint="eastAsia"/>
          <w:sz w:val="24"/>
        </w:rPr>
        <w:t>00</w:t>
      </w:r>
      <w:r w:rsidR="00457014" w:rsidRPr="002C42C7">
        <w:rPr>
          <w:rFonts w:ascii="宋体" w:hAnsi="宋体" w:hint="eastAsia"/>
          <w:sz w:val="24"/>
        </w:rPr>
        <w:t>0万元，调增后总额为</w:t>
      </w:r>
      <w:r w:rsidR="00457014">
        <w:rPr>
          <w:rFonts w:ascii="宋体" w:hAnsi="宋体" w:hint="eastAsia"/>
          <w:sz w:val="24"/>
        </w:rPr>
        <w:t>193</w:t>
      </w:r>
      <w:r w:rsidR="00457014" w:rsidRPr="002C42C7">
        <w:rPr>
          <w:rFonts w:ascii="宋体" w:hAnsi="宋体" w:hint="eastAsia"/>
          <w:sz w:val="24"/>
        </w:rPr>
        <w:t>,</w:t>
      </w:r>
      <w:r w:rsidR="00457014">
        <w:rPr>
          <w:rFonts w:ascii="宋体" w:hAnsi="宋体" w:hint="eastAsia"/>
          <w:sz w:val="24"/>
        </w:rPr>
        <w:t>00</w:t>
      </w:r>
      <w:r w:rsidR="00457014" w:rsidRPr="002C42C7">
        <w:rPr>
          <w:rFonts w:ascii="宋体" w:hAnsi="宋体" w:hint="eastAsia"/>
          <w:sz w:val="24"/>
        </w:rPr>
        <w:t>0万元</w:t>
      </w:r>
      <w:r w:rsidR="00457014">
        <w:rPr>
          <w:rFonts w:ascii="宋体" w:hAnsi="宋体" w:hint="eastAsia"/>
          <w:sz w:val="24"/>
        </w:rPr>
        <w:t>。</w:t>
      </w:r>
      <w:r w:rsidR="00457014">
        <w:rPr>
          <w:rFonts w:ascii="宋体" w:hAnsi="宋体"/>
          <w:sz w:val="24"/>
        </w:rPr>
        <w:t xml:space="preserve"> </w:t>
      </w:r>
    </w:p>
    <w:p w:rsidR="0082719F" w:rsidRPr="0082719F" w:rsidRDefault="007173D1" w:rsidP="0094415A">
      <w:pPr>
        <w:autoSpaceDE w:val="0"/>
        <w:autoSpaceDN w:val="0"/>
        <w:spacing w:line="360" w:lineRule="auto"/>
        <w:ind w:firstLineChars="200" w:firstLine="480"/>
        <w:rPr>
          <w:rFonts w:ascii="宋体" w:hAnsi="宋体"/>
          <w:sz w:val="24"/>
        </w:rPr>
      </w:pPr>
      <w:r>
        <w:rPr>
          <w:rFonts w:ascii="宋体" w:hAnsi="宋体" w:hint="eastAsia"/>
          <w:sz w:val="24"/>
        </w:rPr>
        <w:t>（2）</w:t>
      </w:r>
      <w:r w:rsidR="00F82704">
        <w:rPr>
          <w:rFonts w:ascii="宋体" w:hAnsi="宋体" w:hint="eastAsia"/>
          <w:sz w:val="24"/>
        </w:rPr>
        <w:t>201</w:t>
      </w:r>
      <w:r w:rsidR="00895440">
        <w:rPr>
          <w:rFonts w:ascii="宋体" w:hAnsi="宋体" w:hint="eastAsia"/>
          <w:sz w:val="24"/>
        </w:rPr>
        <w:t>7</w:t>
      </w:r>
      <w:r w:rsidR="00F82704">
        <w:rPr>
          <w:rFonts w:ascii="宋体" w:hAnsi="宋体" w:hint="eastAsia"/>
          <w:sz w:val="24"/>
        </w:rPr>
        <w:t>年</w:t>
      </w:r>
      <w:r w:rsidR="00457014">
        <w:rPr>
          <w:rFonts w:ascii="宋体" w:hAnsi="宋体" w:hint="eastAsia"/>
          <w:sz w:val="24"/>
        </w:rPr>
        <w:t>10</w:t>
      </w:r>
      <w:r w:rsidR="00F82704">
        <w:rPr>
          <w:rFonts w:ascii="宋体" w:hAnsi="宋体" w:hint="eastAsia"/>
          <w:sz w:val="24"/>
        </w:rPr>
        <w:t>月</w:t>
      </w:r>
      <w:r w:rsidR="00457014">
        <w:rPr>
          <w:rFonts w:ascii="宋体" w:hAnsi="宋体" w:hint="eastAsia"/>
          <w:sz w:val="24"/>
        </w:rPr>
        <w:t>2</w:t>
      </w:r>
      <w:r w:rsidR="00895440">
        <w:rPr>
          <w:rFonts w:ascii="宋体" w:hAnsi="宋体" w:hint="eastAsia"/>
          <w:sz w:val="24"/>
        </w:rPr>
        <w:t>3</w:t>
      </w:r>
      <w:r w:rsidR="00F82704">
        <w:rPr>
          <w:rFonts w:ascii="宋体" w:hAnsi="宋体" w:hint="eastAsia"/>
          <w:sz w:val="24"/>
        </w:rPr>
        <w:t>日，公司召开的第</w:t>
      </w:r>
      <w:r w:rsidR="000E2B0B">
        <w:rPr>
          <w:rFonts w:ascii="宋体" w:hAnsi="宋体" w:hint="eastAsia"/>
          <w:sz w:val="24"/>
        </w:rPr>
        <w:t>八届董事会第</w:t>
      </w:r>
      <w:r w:rsidR="00895440">
        <w:rPr>
          <w:rFonts w:ascii="宋体" w:hAnsi="宋体" w:hint="eastAsia"/>
          <w:sz w:val="24"/>
        </w:rPr>
        <w:t>十</w:t>
      </w:r>
      <w:r w:rsidR="00457014">
        <w:rPr>
          <w:rFonts w:ascii="宋体" w:hAnsi="宋体" w:hint="eastAsia"/>
          <w:sz w:val="24"/>
        </w:rPr>
        <w:t>三</w:t>
      </w:r>
      <w:r w:rsidR="00F82704">
        <w:rPr>
          <w:rFonts w:ascii="宋体" w:hAnsi="宋体" w:hint="eastAsia"/>
          <w:sz w:val="24"/>
        </w:rPr>
        <w:t>次会议审议通过了《关于调整20</w:t>
      </w:r>
      <w:r w:rsidR="000E2B0B">
        <w:rPr>
          <w:rFonts w:ascii="宋体" w:hAnsi="宋体" w:hint="eastAsia"/>
          <w:sz w:val="24"/>
        </w:rPr>
        <w:t>1</w:t>
      </w:r>
      <w:r w:rsidR="00895440">
        <w:rPr>
          <w:rFonts w:ascii="宋体" w:hAnsi="宋体" w:hint="eastAsia"/>
          <w:sz w:val="24"/>
        </w:rPr>
        <w:t>7</w:t>
      </w:r>
      <w:r w:rsidR="00F82704">
        <w:rPr>
          <w:rFonts w:ascii="宋体" w:hAnsi="宋体" w:hint="eastAsia"/>
          <w:sz w:val="24"/>
        </w:rPr>
        <w:t>年度日常关联交易额度的议案》</w:t>
      </w:r>
      <w:r w:rsidR="00725CBE">
        <w:rPr>
          <w:rFonts w:ascii="宋体" w:hAnsi="宋体" w:hint="eastAsia"/>
          <w:sz w:val="24"/>
        </w:rPr>
        <w:t>，</w:t>
      </w:r>
      <w:r w:rsidR="0082719F">
        <w:rPr>
          <w:rFonts w:ascii="宋体" w:hAnsi="宋体" w:hint="eastAsia"/>
          <w:sz w:val="24"/>
        </w:rPr>
        <w:t>关联董事</w:t>
      </w:r>
      <w:r w:rsidR="00872781">
        <w:rPr>
          <w:rFonts w:ascii="宋体" w:hAnsi="宋体" w:hint="eastAsia"/>
          <w:sz w:val="24"/>
        </w:rPr>
        <w:t>方洪波</w:t>
      </w:r>
      <w:r w:rsidR="005F52CA">
        <w:rPr>
          <w:rFonts w:ascii="宋体" w:hAnsi="宋体" w:hint="eastAsia"/>
          <w:sz w:val="24"/>
        </w:rPr>
        <w:t>先生</w:t>
      </w:r>
      <w:r w:rsidR="00872781">
        <w:rPr>
          <w:rFonts w:ascii="宋体" w:hAnsi="宋体" w:hint="eastAsia"/>
          <w:sz w:val="24"/>
        </w:rPr>
        <w:t>、肖明光</w:t>
      </w:r>
      <w:r w:rsidR="005F52CA">
        <w:rPr>
          <w:rFonts w:ascii="宋体" w:hAnsi="宋体" w:hint="eastAsia"/>
          <w:sz w:val="24"/>
        </w:rPr>
        <w:t>先生</w:t>
      </w:r>
      <w:r w:rsidR="00872781">
        <w:rPr>
          <w:rFonts w:ascii="宋体" w:hAnsi="宋体" w:hint="eastAsia"/>
          <w:sz w:val="24"/>
        </w:rPr>
        <w:t>、</w:t>
      </w:r>
      <w:r w:rsidR="00895440">
        <w:rPr>
          <w:rFonts w:ascii="宋体" w:hAnsi="宋体" w:hint="eastAsia"/>
          <w:sz w:val="24"/>
        </w:rPr>
        <w:t>江鹏</w:t>
      </w:r>
      <w:r w:rsidR="005F52CA">
        <w:rPr>
          <w:rFonts w:ascii="宋体" w:hAnsi="宋体" w:hint="eastAsia"/>
          <w:sz w:val="24"/>
        </w:rPr>
        <w:t>先生</w:t>
      </w:r>
      <w:r w:rsidR="0082719F">
        <w:rPr>
          <w:rFonts w:ascii="宋体" w:hAnsi="宋体" w:hint="eastAsia"/>
          <w:sz w:val="24"/>
        </w:rPr>
        <w:t>均已回避表决。</w:t>
      </w:r>
    </w:p>
    <w:p w:rsidR="0082719F" w:rsidRPr="0082719F" w:rsidRDefault="007173D1" w:rsidP="0094415A">
      <w:pPr>
        <w:autoSpaceDE w:val="0"/>
        <w:autoSpaceDN w:val="0"/>
        <w:adjustRightInd w:val="0"/>
        <w:spacing w:line="360" w:lineRule="auto"/>
        <w:ind w:firstLineChars="200" w:firstLine="480"/>
        <w:rPr>
          <w:rFonts w:ascii="宋体" w:hAnsi="宋体"/>
          <w:sz w:val="24"/>
        </w:rPr>
      </w:pPr>
      <w:r>
        <w:rPr>
          <w:rFonts w:ascii="宋体" w:hAnsi="宋体" w:hint="eastAsia"/>
          <w:sz w:val="24"/>
        </w:rPr>
        <w:t>（3</w:t>
      </w:r>
      <w:r w:rsidR="009A4238">
        <w:rPr>
          <w:rFonts w:ascii="宋体" w:hAnsi="宋体" w:hint="eastAsia"/>
          <w:sz w:val="24"/>
        </w:rPr>
        <w:t>）</w:t>
      </w:r>
      <w:r w:rsidR="0082719F">
        <w:rPr>
          <w:rFonts w:ascii="宋体" w:hAnsi="宋体" w:hint="eastAsia"/>
          <w:sz w:val="24"/>
        </w:rPr>
        <w:t>本次关联交易无需提交股东大会审议。</w:t>
      </w:r>
      <w:r w:rsidR="0082719F" w:rsidRPr="0082719F">
        <w:rPr>
          <w:rFonts w:ascii="宋体" w:hAnsi="宋体"/>
          <w:sz w:val="24"/>
        </w:rPr>
        <w:t xml:space="preserve"> </w:t>
      </w:r>
    </w:p>
    <w:p w:rsidR="00993BBC" w:rsidRPr="00941F00" w:rsidRDefault="009A5651" w:rsidP="0094415A">
      <w:pPr>
        <w:spacing w:line="360" w:lineRule="auto"/>
        <w:ind w:firstLineChars="196" w:firstLine="472"/>
        <w:rPr>
          <w:rFonts w:ascii="宋体" w:hAnsi="宋体"/>
          <w:b/>
          <w:sz w:val="24"/>
        </w:rPr>
      </w:pPr>
      <w:r>
        <w:rPr>
          <w:rFonts w:ascii="宋体" w:hAnsi="宋体" w:hint="eastAsia"/>
          <w:b/>
          <w:sz w:val="24"/>
        </w:rPr>
        <w:t>2、</w:t>
      </w:r>
      <w:r w:rsidR="0082719F" w:rsidRPr="00941F00">
        <w:rPr>
          <w:rFonts w:ascii="宋体" w:hAnsi="宋体" w:hint="eastAsia"/>
          <w:b/>
          <w:sz w:val="24"/>
        </w:rPr>
        <w:t>预计关联交易类别与金额</w:t>
      </w:r>
    </w:p>
    <w:p w:rsidR="00DE2787" w:rsidRPr="00E5565D" w:rsidRDefault="00993BBC" w:rsidP="004721CD">
      <w:pPr>
        <w:autoSpaceDE w:val="0"/>
        <w:autoSpaceDN w:val="0"/>
        <w:spacing w:line="360" w:lineRule="auto"/>
        <w:ind w:firstLineChars="200" w:firstLine="400"/>
        <w:rPr>
          <w:rFonts w:ascii="宋体" w:hAnsi="宋体" w:cs="宋体"/>
          <w:color w:val="000000"/>
          <w:sz w:val="20"/>
          <w:szCs w:val="20"/>
        </w:rPr>
      </w:pPr>
      <w:r w:rsidRPr="00E5565D">
        <w:rPr>
          <w:rFonts w:ascii="宋体" w:hAnsi="宋体" w:cs="宋体" w:hint="eastAsia"/>
          <w:color w:val="000000"/>
          <w:sz w:val="20"/>
          <w:szCs w:val="20"/>
        </w:rPr>
        <w:t xml:space="preserve">                                                          </w:t>
      </w:r>
      <w:r w:rsidR="00040840">
        <w:rPr>
          <w:rFonts w:ascii="宋体" w:hAnsi="宋体" w:cs="宋体" w:hint="eastAsia"/>
          <w:color w:val="000000"/>
          <w:sz w:val="20"/>
          <w:szCs w:val="20"/>
        </w:rPr>
        <w:t xml:space="preserve">         </w:t>
      </w:r>
      <w:r w:rsidRPr="00E5565D">
        <w:rPr>
          <w:rFonts w:ascii="宋体" w:hAnsi="宋体" w:cs="宋体" w:hint="eastAsia"/>
          <w:color w:val="000000"/>
          <w:sz w:val="20"/>
          <w:szCs w:val="20"/>
        </w:rPr>
        <w:t xml:space="preserve"> </w:t>
      </w:r>
      <w:r w:rsidRPr="00990B97">
        <w:rPr>
          <w:rFonts w:ascii="宋体" w:hAnsi="宋体" w:hint="eastAsia"/>
          <w:sz w:val="24"/>
        </w:rPr>
        <w:t>单位：万元</w:t>
      </w:r>
    </w:p>
    <w:tbl>
      <w:tblPr>
        <w:tblW w:w="8486"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34"/>
        <w:gridCol w:w="1136"/>
        <w:gridCol w:w="1429"/>
        <w:gridCol w:w="986"/>
        <w:gridCol w:w="994"/>
        <w:gridCol w:w="994"/>
        <w:gridCol w:w="1586"/>
      </w:tblGrid>
      <w:tr w:rsidR="00142AD9" w:rsidTr="00525D8B">
        <w:trPr>
          <w:trHeight w:val="759"/>
          <w:jc w:val="center"/>
        </w:trPr>
        <w:tc>
          <w:tcPr>
            <w:tcW w:w="427" w:type="dxa"/>
            <w:shd w:val="clear" w:color="auto" w:fill="D9D9D9" w:themeFill="background1" w:themeFillShade="D9"/>
            <w:vAlign w:val="center"/>
            <w:hideMark/>
          </w:tcPr>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序号</w:t>
            </w:r>
          </w:p>
        </w:tc>
        <w:tc>
          <w:tcPr>
            <w:tcW w:w="934" w:type="dxa"/>
            <w:shd w:val="clear" w:color="auto" w:fill="D9D9D9" w:themeFill="background1" w:themeFillShade="D9"/>
            <w:vAlign w:val="center"/>
            <w:hideMark/>
          </w:tcPr>
          <w:p w:rsidR="003C0581"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交易</w:t>
            </w:r>
          </w:p>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对方</w:t>
            </w:r>
          </w:p>
        </w:tc>
        <w:tc>
          <w:tcPr>
            <w:tcW w:w="1136" w:type="dxa"/>
            <w:shd w:val="clear" w:color="auto" w:fill="D9D9D9" w:themeFill="background1" w:themeFillShade="D9"/>
            <w:vAlign w:val="center"/>
            <w:hideMark/>
          </w:tcPr>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关联交易</w:t>
            </w:r>
          </w:p>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类别</w:t>
            </w:r>
          </w:p>
        </w:tc>
        <w:tc>
          <w:tcPr>
            <w:tcW w:w="1429" w:type="dxa"/>
            <w:shd w:val="clear" w:color="auto" w:fill="D9D9D9" w:themeFill="background1" w:themeFillShade="D9"/>
            <w:vAlign w:val="center"/>
            <w:hideMark/>
          </w:tcPr>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关联交易定价原则</w:t>
            </w:r>
          </w:p>
        </w:tc>
        <w:tc>
          <w:tcPr>
            <w:tcW w:w="986" w:type="dxa"/>
            <w:shd w:val="clear" w:color="auto" w:fill="D9D9D9" w:themeFill="background1" w:themeFillShade="D9"/>
            <w:vAlign w:val="center"/>
            <w:hideMark/>
          </w:tcPr>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原预计</w:t>
            </w:r>
          </w:p>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金额</w:t>
            </w:r>
          </w:p>
        </w:tc>
        <w:tc>
          <w:tcPr>
            <w:tcW w:w="994" w:type="dxa"/>
            <w:shd w:val="clear" w:color="auto" w:fill="D9D9D9" w:themeFill="background1" w:themeFillShade="D9"/>
            <w:vAlign w:val="center"/>
          </w:tcPr>
          <w:p w:rsidR="0046118D"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增加</w:t>
            </w:r>
          </w:p>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金额</w:t>
            </w:r>
          </w:p>
        </w:tc>
        <w:tc>
          <w:tcPr>
            <w:tcW w:w="994" w:type="dxa"/>
            <w:shd w:val="clear" w:color="auto" w:fill="D9D9D9" w:themeFill="background1" w:themeFillShade="D9"/>
            <w:vAlign w:val="center"/>
            <w:hideMark/>
          </w:tcPr>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调整后</w:t>
            </w:r>
          </w:p>
          <w:p w:rsidR="003C0581" w:rsidRPr="00111EE3" w:rsidRDefault="003C0581" w:rsidP="00525D8B">
            <w:pPr>
              <w:widowControl/>
              <w:jc w:val="center"/>
              <w:rPr>
                <w:rFonts w:ascii="宋体" w:hAnsi="宋体" w:cs="宋体"/>
                <w:b/>
                <w:color w:val="000000"/>
                <w:sz w:val="20"/>
              </w:rPr>
            </w:pPr>
            <w:r w:rsidRPr="00111EE3">
              <w:rPr>
                <w:rFonts w:ascii="宋体" w:hAnsi="宋体" w:cs="宋体" w:hint="eastAsia"/>
                <w:b/>
                <w:color w:val="000000"/>
                <w:sz w:val="20"/>
              </w:rPr>
              <w:t>金额</w:t>
            </w:r>
          </w:p>
        </w:tc>
        <w:tc>
          <w:tcPr>
            <w:tcW w:w="1586" w:type="dxa"/>
            <w:shd w:val="clear" w:color="auto" w:fill="D9D9D9" w:themeFill="background1" w:themeFillShade="D9"/>
            <w:vAlign w:val="center"/>
          </w:tcPr>
          <w:p w:rsidR="003C0581" w:rsidRPr="00DF67D1" w:rsidRDefault="003C0581" w:rsidP="00525D8B">
            <w:pPr>
              <w:widowControl/>
              <w:jc w:val="center"/>
              <w:rPr>
                <w:rFonts w:ascii="宋体" w:hAnsi="宋体" w:cs="宋体"/>
                <w:b/>
                <w:color w:val="000000"/>
                <w:sz w:val="20"/>
              </w:rPr>
            </w:pPr>
            <w:r w:rsidRPr="00DF67D1">
              <w:rPr>
                <w:rFonts w:ascii="宋体" w:hAnsi="宋体" w:cs="宋体" w:hint="eastAsia"/>
                <w:b/>
                <w:color w:val="000000"/>
                <w:sz w:val="20"/>
              </w:rPr>
              <w:t>截止</w:t>
            </w:r>
            <w:r w:rsidR="00533B25" w:rsidRPr="00DF67D1">
              <w:rPr>
                <w:rFonts w:ascii="宋体" w:hAnsi="宋体" w:cs="宋体" w:hint="eastAsia"/>
                <w:b/>
                <w:color w:val="000000"/>
                <w:sz w:val="20"/>
              </w:rPr>
              <w:t>9</w:t>
            </w:r>
            <w:r w:rsidRPr="00DF67D1">
              <w:rPr>
                <w:rFonts w:ascii="宋体" w:hAnsi="宋体" w:cs="宋体" w:hint="eastAsia"/>
                <w:b/>
                <w:color w:val="000000"/>
                <w:sz w:val="20"/>
              </w:rPr>
              <w:t>月底实际发生金额</w:t>
            </w:r>
          </w:p>
        </w:tc>
      </w:tr>
      <w:tr w:rsidR="00533B25" w:rsidTr="00000D20">
        <w:trPr>
          <w:trHeight w:val="531"/>
          <w:jc w:val="center"/>
        </w:trPr>
        <w:tc>
          <w:tcPr>
            <w:tcW w:w="427" w:type="dxa"/>
            <w:vAlign w:val="center"/>
          </w:tcPr>
          <w:p w:rsidR="00533B25" w:rsidRPr="00F11600" w:rsidRDefault="00533B25" w:rsidP="00534AE4">
            <w:pPr>
              <w:jc w:val="center"/>
              <w:rPr>
                <w:rFonts w:asciiTheme="minorEastAsia" w:eastAsiaTheme="minorEastAsia" w:hAnsiTheme="minorEastAsia" w:cs="宋体"/>
                <w:color w:val="000000"/>
                <w:sz w:val="20"/>
              </w:rPr>
            </w:pPr>
            <w:r w:rsidRPr="00F11600">
              <w:rPr>
                <w:rFonts w:asciiTheme="minorEastAsia" w:eastAsiaTheme="minorEastAsia" w:hAnsiTheme="minorEastAsia" w:cs="宋体" w:hint="eastAsia"/>
                <w:color w:val="000000"/>
                <w:sz w:val="20"/>
              </w:rPr>
              <w:t>1</w:t>
            </w:r>
          </w:p>
        </w:tc>
        <w:tc>
          <w:tcPr>
            <w:tcW w:w="934" w:type="dxa"/>
            <w:vAlign w:val="center"/>
            <w:hideMark/>
          </w:tcPr>
          <w:p w:rsidR="00533B25" w:rsidRDefault="00533B25" w:rsidP="00534AE4">
            <w:pPr>
              <w:jc w:val="center"/>
              <w:rPr>
                <w:rFonts w:ascii="宋体" w:hAnsi="宋体" w:cs="宋体"/>
                <w:color w:val="000000"/>
                <w:sz w:val="20"/>
              </w:rPr>
            </w:pPr>
            <w:r w:rsidRPr="00DA4101">
              <w:rPr>
                <w:rFonts w:hint="eastAsia"/>
                <w:color w:val="000000"/>
                <w:sz w:val="20"/>
              </w:rPr>
              <w:t>宁波美的联合物资</w:t>
            </w:r>
          </w:p>
        </w:tc>
        <w:tc>
          <w:tcPr>
            <w:tcW w:w="1136" w:type="dxa"/>
            <w:vAlign w:val="center"/>
          </w:tcPr>
          <w:p w:rsidR="00533B25" w:rsidRDefault="00533B25" w:rsidP="00534AE4">
            <w:pPr>
              <w:widowControl/>
              <w:jc w:val="center"/>
              <w:rPr>
                <w:rFonts w:ascii="宋体" w:hAnsi="宋体" w:cs="宋体"/>
                <w:color w:val="000000"/>
                <w:sz w:val="20"/>
              </w:rPr>
            </w:pPr>
            <w:r>
              <w:rPr>
                <w:rFonts w:hint="eastAsia"/>
                <w:color w:val="000000"/>
                <w:sz w:val="20"/>
              </w:rPr>
              <w:t>采购塑料原料及钢材等</w:t>
            </w:r>
          </w:p>
        </w:tc>
        <w:tc>
          <w:tcPr>
            <w:tcW w:w="1429" w:type="dxa"/>
            <w:vAlign w:val="center"/>
          </w:tcPr>
          <w:p w:rsidR="00533B25" w:rsidRDefault="00533B25" w:rsidP="00131B1B">
            <w:pPr>
              <w:widowControl/>
              <w:jc w:val="center"/>
              <w:rPr>
                <w:rFonts w:ascii="宋体" w:hAnsi="宋体" w:cs="宋体"/>
                <w:color w:val="000000"/>
                <w:sz w:val="20"/>
              </w:rPr>
            </w:pPr>
            <w:r w:rsidRPr="008F2F7F">
              <w:rPr>
                <w:rFonts w:hint="eastAsia"/>
                <w:color w:val="000000"/>
                <w:sz w:val="20"/>
              </w:rPr>
              <w:t>以市场价格作为定价依据，具体由交易双方协商确定。</w:t>
            </w:r>
          </w:p>
        </w:tc>
        <w:tc>
          <w:tcPr>
            <w:tcW w:w="986" w:type="dxa"/>
            <w:noWrap/>
            <w:vAlign w:val="center"/>
          </w:tcPr>
          <w:p w:rsidR="00533B25" w:rsidRPr="004859DE" w:rsidRDefault="00533B25" w:rsidP="004E749C">
            <w:pPr>
              <w:jc w:val="center"/>
              <w:rPr>
                <w:rFonts w:ascii="宋体" w:hAnsi="宋体" w:cs="宋体"/>
                <w:color w:val="000000"/>
                <w:sz w:val="20"/>
              </w:rPr>
            </w:pPr>
            <w:r>
              <w:rPr>
                <w:rFonts w:ascii="宋体" w:hAnsi="宋体" w:hint="eastAsia"/>
                <w:color w:val="000000"/>
                <w:sz w:val="20"/>
              </w:rPr>
              <w:t>166</w:t>
            </w:r>
            <w:r w:rsidRPr="00297F72">
              <w:rPr>
                <w:rFonts w:ascii="宋体" w:hAnsi="宋体" w:hint="eastAsia"/>
                <w:color w:val="000000"/>
                <w:sz w:val="20"/>
              </w:rPr>
              <w:t>,000</w:t>
            </w:r>
          </w:p>
        </w:tc>
        <w:tc>
          <w:tcPr>
            <w:tcW w:w="994" w:type="dxa"/>
            <w:vAlign w:val="center"/>
          </w:tcPr>
          <w:p w:rsidR="00533B25" w:rsidRPr="004859DE" w:rsidRDefault="00533B25" w:rsidP="004E749C">
            <w:pPr>
              <w:jc w:val="center"/>
              <w:rPr>
                <w:rFonts w:ascii="宋体" w:hAnsi="宋体" w:cs="宋体"/>
                <w:color w:val="000000"/>
                <w:sz w:val="20"/>
              </w:rPr>
            </w:pPr>
            <w:r>
              <w:rPr>
                <w:rFonts w:ascii="宋体" w:hAnsi="宋体" w:hint="eastAsia"/>
                <w:color w:val="000000"/>
                <w:sz w:val="20"/>
              </w:rPr>
              <w:t>27</w:t>
            </w:r>
            <w:r w:rsidRPr="004859DE">
              <w:rPr>
                <w:rFonts w:ascii="宋体" w:hAnsi="宋体" w:hint="eastAsia"/>
                <w:color w:val="000000"/>
                <w:sz w:val="20"/>
              </w:rPr>
              <w:t>,000</w:t>
            </w:r>
          </w:p>
        </w:tc>
        <w:tc>
          <w:tcPr>
            <w:tcW w:w="994" w:type="dxa"/>
            <w:noWrap/>
            <w:vAlign w:val="center"/>
          </w:tcPr>
          <w:p w:rsidR="00533B25" w:rsidRPr="004859DE" w:rsidRDefault="00533B25" w:rsidP="004E749C">
            <w:pPr>
              <w:jc w:val="center"/>
              <w:rPr>
                <w:rFonts w:ascii="宋体" w:hAnsi="宋体" w:cs="宋体"/>
                <w:color w:val="000000"/>
                <w:sz w:val="20"/>
              </w:rPr>
            </w:pPr>
            <w:r>
              <w:rPr>
                <w:rFonts w:ascii="宋体" w:hAnsi="宋体" w:hint="eastAsia"/>
                <w:color w:val="000000"/>
                <w:sz w:val="20"/>
              </w:rPr>
              <w:t>193</w:t>
            </w:r>
            <w:r w:rsidRPr="004859DE">
              <w:rPr>
                <w:rFonts w:ascii="宋体" w:hAnsi="宋体" w:hint="eastAsia"/>
                <w:color w:val="000000"/>
                <w:sz w:val="20"/>
              </w:rPr>
              <w:t>,000</w:t>
            </w:r>
          </w:p>
        </w:tc>
        <w:tc>
          <w:tcPr>
            <w:tcW w:w="1586" w:type="dxa"/>
            <w:vAlign w:val="center"/>
          </w:tcPr>
          <w:p w:rsidR="00533B25" w:rsidRPr="00DF67D1" w:rsidRDefault="008C7894" w:rsidP="009A4238">
            <w:pPr>
              <w:jc w:val="center"/>
              <w:rPr>
                <w:rFonts w:ascii="宋体" w:hAnsi="宋体"/>
                <w:color w:val="000000"/>
                <w:sz w:val="20"/>
              </w:rPr>
            </w:pPr>
            <w:r w:rsidRPr="00DF67D1">
              <w:rPr>
                <w:rFonts w:ascii="宋体" w:hAnsi="宋体" w:hint="eastAsia"/>
                <w:color w:val="000000"/>
                <w:sz w:val="20"/>
              </w:rPr>
              <w:t>132,66</w:t>
            </w:r>
            <w:r w:rsidR="009A4238">
              <w:rPr>
                <w:rFonts w:ascii="宋体" w:hAnsi="宋体" w:hint="eastAsia"/>
                <w:color w:val="000000"/>
                <w:sz w:val="20"/>
              </w:rPr>
              <w:t>6</w:t>
            </w:r>
          </w:p>
        </w:tc>
      </w:tr>
    </w:tbl>
    <w:p w:rsidR="00993BBC" w:rsidRDefault="00993BBC" w:rsidP="0094415A">
      <w:pPr>
        <w:autoSpaceDE w:val="0"/>
        <w:autoSpaceDN w:val="0"/>
        <w:adjustRightInd w:val="0"/>
        <w:spacing w:line="360" w:lineRule="auto"/>
        <w:rPr>
          <w:rFonts w:ascii="宋体" w:hAnsi="宋体"/>
          <w:b/>
          <w:bCs/>
          <w:sz w:val="24"/>
        </w:rPr>
      </w:pPr>
      <w:r>
        <w:rPr>
          <w:rFonts w:ascii="宋体" w:hAnsi="宋体" w:hint="eastAsia"/>
          <w:b/>
          <w:bCs/>
          <w:sz w:val="24"/>
        </w:rPr>
        <w:lastRenderedPageBreak/>
        <w:t>二、关联方基本情况</w:t>
      </w:r>
    </w:p>
    <w:p w:rsidR="00993BBC" w:rsidRDefault="00993BBC" w:rsidP="0094415A">
      <w:pPr>
        <w:spacing w:line="360" w:lineRule="auto"/>
        <w:ind w:firstLineChars="196" w:firstLine="472"/>
        <w:rPr>
          <w:rFonts w:ascii="宋体" w:hAnsi="宋体"/>
          <w:b/>
          <w:bCs/>
          <w:sz w:val="24"/>
        </w:rPr>
      </w:pPr>
      <w:r>
        <w:rPr>
          <w:rFonts w:ascii="宋体" w:hAnsi="宋体" w:hint="eastAsia"/>
          <w:b/>
          <w:bCs/>
          <w:sz w:val="24"/>
        </w:rPr>
        <w:t>1、关联方基本情况介绍</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641"/>
        <w:gridCol w:w="1362"/>
        <w:gridCol w:w="801"/>
        <w:gridCol w:w="2536"/>
      </w:tblGrid>
      <w:tr w:rsidR="00993BBC" w:rsidTr="007F52C0">
        <w:trPr>
          <w:trHeight w:val="606"/>
          <w:jc w:val="center"/>
        </w:trPr>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BBC" w:rsidRPr="00B525DC" w:rsidRDefault="00993BBC">
            <w:pPr>
              <w:jc w:val="center"/>
              <w:rPr>
                <w:rFonts w:ascii="宋体" w:hAnsi="宋体"/>
                <w:b/>
                <w:sz w:val="20"/>
                <w:szCs w:val="20"/>
              </w:rPr>
            </w:pPr>
            <w:r w:rsidRPr="00B525DC">
              <w:rPr>
                <w:rFonts w:ascii="宋体" w:hAnsi="宋体" w:hint="eastAsia"/>
                <w:b/>
                <w:sz w:val="20"/>
                <w:szCs w:val="20"/>
              </w:rPr>
              <w:t>关联方</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BBC" w:rsidRPr="00B525DC" w:rsidRDefault="00993BBC">
            <w:pPr>
              <w:jc w:val="center"/>
              <w:rPr>
                <w:rFonts w:ascii="宋体" w:hAnsi="宋体"/>
                <w:b/>
                <w:sz w:val="20"/>
                <w:szCs w:val="20"/>
              </w:rPr>
            </w:pPr>
            <w:r w:rsidRPr="00B525DC">
              <w:rPr>
                <w:rFonts w:ascii="宋体" w:hAnsi="宋体" w:hint="eastAsia"/>
                <w:b/>
                <w:sz w:val="20"/>
                <w:szCs w:val="20"/>
              </w:rPr>
              <w:t>主营业务</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BBC" w:rsidRPr="00B525DC" w:rsidRDefault="00993BBC" w:rsidP="00F95A9C">
            <w:pPr>
              <w:jc w:val="center"/>
              <w:rPr>
                <w:rFonts w:ascii="宋体" w:hAnsi="宋体"/>
                <w:b/>
                <w:sz w:val="20"/>
                <w:szCs w:val="20"/>
              </w:rPr>
            </w:pPr>
            <w:r w:rsidRPr="00B525DC">
              <w:rPr>
                <w:rFonts w:ascii="宋体" w:hAnsi="宋体" w:hint="eastAsia"/>
                <w:b/>
                <w:sz w:val="20"/>
                <w:szCs w:val="20"/>
              </w:rPr>
              <w:t>注册资本</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993BBC" w:rsidRPr="00B525DC" w:rsidRDefault="00993BBC">
            <w:pPr>
              <w:jc w:val="center"/>
              <w:rPr>
                <w:rFonts w:ascii="宋体" w:hAnsi="宋体"/>
                <w:b/>
                <w:sz w:val="20"/>
                <w:szCs w:val="20"/>
              </w:rPr>
            </w:pPr>
            <w:r w:rsidRPr="00B525DC">
              <w:rPr>
                <w:rFonts w:ascii="宋体" w:hAnsi="宋体" w:hint="eastAsia"/>
                <w:b/>
                <w:sz w:val="20"/>
                <w:szCs w:val="20"/>
              </w:rPr>
              <w:t>法定</w:t>
            </w:r>
          </w:p>
          <w:p w:rsidR="00993BBC" w:rsidRPr="00B525DC" w:rsidRDefault="00993BBC">
            <w:pPr>
              <w:jc w:val="center"/>
              <w:rPr>
                <w:rFonts w:ascii="宋体" w:hAnsi="宋体"/>
                <w:b/>
                <w:sz w:val="20"/>
                <w:szCs w:val="20"/>
              </w:rPr>
            </w:pPr>
            <w:r w:rsidRPr="00B525DC">
              <w:rPr>
                <w:rFonts w:ascii="宋体" w:hAnsi="宋体" w:hint="eastAsia"/>
                <w:b/>
                <w:sz w:val="20"/>
                <w:szCs w:val="20"/>
              </w:rPr>
              <w:t>代表人</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BBC" w:rsidRPr="00B525DC" w:rsidRDefault="00993BBC">
            <w:pPr>
              <w:jc w:val="center"/>
              <w:rPr>
                <w:rFonts w:ascii="宋体" w:hAnsi="宋体"/>
                <w:b/>
                <w:sz w:val="20"/>
                <w:szCs w:val="20"/>
              </w:rPr>
            </w:pPr>
            <w:r w:rsidRPr="00B525DC">
              <w:rPr>
                <w:rFonts w:ascii="宋体" w:hAnsi="宋体" w:hint="eastAsia"/>
                <w:b/>
                <w:sz w:val="20"/>
                <w:szCs w:val="20"/>
              </w:rPr>
              <w:t>注册地址</w:t>
            </w:r>
          </w:p>
        </w:tc>
      </w:tr>
      <w:tr w:rsidR="004444EF" w:rsidTr="0074114D">
        <w:trPr>
          <w:trHeight w:val="394"/>
          <w:jc w:val="center"/>
        </w:trPr>
        <w:tc>
          <w:tcPr>
            <w:tcW w:w="1124" w:type="dxa"/>
            <w:tcBorders>
              <w:top w:val="single" w:sz="4" w:space="0" w:color="auto"/>
              <w:left w:val="single" w:sz="4" w:space="0" w:color="auto"/>
              <w:bottom w:val="single" w:sz="4" w:space="0" w:color="auto"/>
              <w:right w:val="single" w:sz="4" w:space="0" w:color="auto"/>
            </w:tcBorders>
            <w:vAlign w:val="center"/>
          </w:tcPr>
          <w:p w:rsidR="004444EF" w:rsidRPr="00395DB3" w:rsidRDefault="004444EF" w:rsidP="0074114D">
            <w:pPr>
              <w:spacing w:line="320" w:lineRule="exact"/>
              <w:jc w:val="center"/>
              <w:rPr>
                <w:rFonts w:ascii="宋体" w:hAnsi="宋体"/>
                <w:sz w:val="18"/>
                <w:szCs w:val="18"/>
              </w:rPr>
            </w:pPr>
            <w:r w:rsidRPr="00395DB3">
              <w:rPr>
                <w:rFonts w:ascii="宋体" w:hAnsi="宋体" w:hint="eastAsia"/>
                <w:sz w:val="18"/>
                <w:szCs w:val="18"/>
              </w:rPr>
              <w:t>宁波美的联合物资</w:t>
            </w:r>
          </w:p>
        </w:tc>
        <w:tc>
          <w:tcPr>
            <w:tcW w:w="2641" w:type="dxa"/>
            <w:tcBorders>
              <w:top w:val="single" w:sz="4" w:space="0" w:color="auto"/>
              <w:left w:val="single" w:sz="4" w:space="0" w:color="auto"/>
              <w:bottom w:val="single" w:sz="4" w:space="0" w:color="auto"/>
              <w:right w:val="single" w:sz="4" w:space="0" w:color="auto"/>
            </w:tcBorders>
            <w:vAlign w:val="center"/>
          </w:tcPr>
          <w:p w:rsidR="004444EF" w:rsidRPr="00395DB3" w:rsidRDefault="00906F64" w:rsidP="0074114D">
            <w:pPr>
              <w:spacing w:line="320" w:lineRule="exact"/>
              <w:jc w:val="center"/>
              <w:rPr>
                <w:rFonts w:ascii="宋体" w:hAnsi="宋体"/>
                <w:sz w:val="18"/>
                <w:szCs w:val="18"/>
              </w:rPr>
            </w:pPr>
            <w:r>
              <w:rPr>
                <w:rFonts w:ascii="宋体" w:hAnsi="宋体" w:hint="eastAsia"/>
                <w:sz w:val="18"/>
                <w:szCs w:val="18"/>
              </w:rPr>
              <w:t>采购及销售原材料及零部件。</w:t>
            </w:r>
          </w:p>
        </w:tc>
        <w:tc>
          <w:tcPr>
            <w:tcW w:w="1362" w:type="dxa"/>
            <w:tcBorders>
              <w:top w:val="single" w:sz="4" w:space="0" w:color="auto"/>
              <w:left w:val="single" w:sz="4" w:space="0" w:color="auto"/>
              <w:bottom w:val="single" w:sz="4" w:space="0" w:color="auto"/>
              <w:right w:val="single" w:sz="4" w:space="0" w:color="auto"/>
            </w:tcBorders>
            <w:vAlign w:val="center"/>
          </w:tcPr>
          <w:p w:rsidR="004444EF" w:rsidRPr="00395DB3" w:rsidRDefault="004444EF" w:rsidP="0074114D">
            <w:pPr>
              <w:spacing w:line="320" w:lineRule="exact"/>
              <w:jc w:val="center"/>
              <w:rPr>
                <w:rFonts w:ascii="宋体" w:hAnsi="宋体"/>
                <w:sz w:val="18"/>
                <w:szCs w:val="18"/>
              </w:rPr>
            </w:pPr>
            <w:r>
              <w:rPr>
                <w:rFonts w:ascii="宋体" w:hAnsi="宋体" w:hint="eastAsia"/>
                <w:sz w:val="18"/>
                <w:szCs w:val="18"/>
              </w:rPr>
              <w:t>48,000</w:t>
            </w:r>
            <w:r w:rsidRPr="00395DB3">
              <w:rPr>
                <w:rFonts w:ascii="宋体" w:hAnsi="宋体" w:hint="eastAsia"/>
                <w:sz w:val="18"/>
                <w:szCs w:val="18"/>
              </w:rPr>
              <w:t>万元</w:t>
            </w:r>
          </w:p>
        </w:tc>
        <w:tc>
          <w:tcPr>
            <w:tcW w:w="8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444EF" w:rsidRPr="00395DB3" w:rsidRDefault="004444EF" w:rsidP="0074114D">
            <w:pPr>
              <w:spacing w:line="320" w:lineRule="exact"/>
              <w:jc w:val="center"/>
              <w:rPr>
                <w:rFonts w:ascii="宋体" w:hAnsi="宋体"/>
                <w:sz w:val="18"/>
                <w:szCs w:val="18"/>
              </w:rPr>
            </w:pPr>
            <w:r w:rsidRPr="00395DB3">
              <w:rPr>
                <w:rFonts w:ascii="宋体" w:hAnsi="宋体" w:hint="eastAsia"/>
                <w:sz w:val="18"/>
                <w:szCs w:val="18"/>
              </w:rPr>
              <w:t>周树青</w:t>
            </w:r>
          </w:p>
        </w:tc>
        <w:tc>
          <w:tcPr>
            <w:tcW w:w="2536" w:type="dxa"/>
            <w:tcBorders>
              <w:top w:val="single" w:sz="4" w:space="0" w:color="auto"/>
              <w:left w:val="single" w:sz="4" w:space="0" w:color="auto"/>
              <w:bottom w:val="single" w:sz="4" w:space="0" w:color="auto"/>
              <w:right w:val="single" w:sz="4" w:space="0" w:color="auto"/>
            </w:tcBorders>
            <w:vAlign w:val="center"/>
          </w:tcPr>
          <w:p w:rsidR="004444EF" w:rsidRPr="00395DB3" w:rsidRDefault="004444EF" w:rsidP="0074114D">
            <w:pPr>
              <w:spacing w:line="320" w:lineRule="exact"/>
              <w:jc w:val="center"/>
              <w:rPr>
                <w:rFonts w:ascii="宋体" w:hAnsi="宋体"/>
                <w:sz w:val="18"/>
                <w:szCs w:val="18"/>
              </w:rPr>
            </w:pPr>
            <w:r w:rsidRPr="00395DB3">
              <w:rPr>
                <w:rFonts w:ascii="宋体" w:hAnsi="宋体" w:hint="eastAsia"/>
                <w:sz w:val="18"/>
                <w:szCs w:val="18"/>
              </w:rPr>
              <w:t>宁波</w:t>
            </w:r>
            <w:proofErr w:type="gramStart"/>
            <w:r w:rsidRPr="00395DB3">
              <w:rPr>
                <w:rFonts w:ascii="宋体" w:hAnsi="宋体" w:hint="eastAsia"/>
                <w:sz w:val="18"/>
                <w:szCs w:val="18"/>
              </w:rPr>
              <w:t>北仓区梅山</w:t>
            </w:r>
            <w:proofErr w:type="gramEnd"/>
            <w:r w:rsidRPr="00395DB3">
              <w:rPr>
                <w:rFonts w:ascii="宋体" w:hAnsi="宋体" w:hint="eastAsia"/>
                <w:sz w:val="18"/>
                <w:szCs w:val="18"/>
              </w:rPr>
              <w:t>盐场1号办公楼五号291室</w:t>
            </w:r>
          </w:p>
        </w:tc>
      </w:tr>
    </w:tbl>
    <w:p w:rsidR="00247000" w:rsidRDefault="00247000" w:rsidP="00247000">
      <w:pPr>
        <w:autoSpaceDE w:val="0"/>
        <w:autoSpaceDN w:val="0"/>
        <w:adjustRightInd w:val="0"/>
        <w:spacing w:line="480" w:lineRule="auto"/>
        <w:ind w:firstLineChars="196" w:firstLine="472"/>
        <w:jc w:val="left"/>
        <w:rPr>
          <w:rFonts w:ascii="宋体" w:hAnsi="宋体"/>
          <w:b/>
          <w:bCs/>
          <w:sz w:val="24"/>
        </w:rPr>
      </w:pPr>
      <w:r w:rsidRPr="00DE5192">
        <w:rPr>
          <w:rFonts w:ascii="宋体" w:hAnsi="宋体"/>
          <w:b/>
          <w:bCs/>
          <w:sz w:val="24"/>
        </w:rPr>
        <w:t>2</w:t>
      </w:r>
      <w:r w:rsidRPr="00DE5192">
        <w:rPr>
          <w:rFonts w:ascii="宋体" w:hAnsi="宋体" w:hint="eastAsia"/>
          <w:b/>
          <w:bCs/>
          <w:sz w:val="24"/>
        </w:rPr>
        <w:t>、关联方最近一期财务数据（截止201</w:t>
      </w:r>
      <w:r w:rsidR="009B7BEC" w:rsidRPr="00DE5192">
        <w:rPr>
          <w:rFonts w:ascii="宋体" w:hAnsi="宋体" w:hint="eastAsia"/>
          <w:b/>
          <w:bCs/>
          <w:sz w:val="24"/>
        </w:rPr>
        <w:t>7</w:t>
      </w:r>
      <w:r w:rsidRPr="00DE5192">
        <w:rPr>
          <w:rFonts w:ascii="宋体" w:hAnsi="宋体" w:hint="eastAsia"/>
          <w:b/>
          <w:bCs/>
          <w:sz w:val="24"/>
        </w:rPr>
        <w:t>年</w:t>
      </w:r>
      <w:r w:rsidR="009B7BEC" w:rsidRPr="00DE5192">
        <w:rPr>
          <w:rFonts w:ascii="宋体" w:hAnsi="宋体" w:hint="eastAsia"/>
          <w:b/>
          <w:bCs/>
          <w:sz w:val="24"/>
        </w:rPr>
        <w:t>6</w:t>
      </w:r>
      <w:r w:rsidRPr="00DE5192">
        <w:rPr>
          <w:rFonts w:ascii="宋体" w:hAnsi="宋体" w:hint="eastAsia"/>
          <w:b/>
          <w:bCs/>
          <w:sz w:val="24"/>
        </w:rPr>
        <w:t>月</w:t>
      </w:r>
      <w:r w:rsidR="009B7BEC" w:rsidRPr="00DE5192">
        <w:rPr>
          <w:rFonts w:ascii="宋体" w:hAnsi="宋体" w:hint="eastAsia"/>
          <w:b/>
          <w:bCs/>
          <w:sz w:val="24"/>
        </w:rPr>
        <w:t>30</w:t>
      </w:r>
      <w:r w:rsidRPr="00DE5192">
        <w:rPr>
          <w:rFonts w:ascii="宋体" w:hAnsi="宋体" w:hint="eastAsia"/>
          <w:b/>
          <w:bCs/>
          <w:sz w:val="24"/>
        </w:rPr>
        <w:t>日）</w:t>
      </w:r>
    </w:p>
    <w:p w:rsidR="00247000" w:rsidRDefault="00247000" w:rsidP="004721CD">
      <w:pPr>
        <w:autoSpaceDE w:val="0"/>
        <w:autoSpaceDN w:val="0"/>
        <w:spacing w:line="360" w:lineRule="auto"/>
        <w:ind w:firstLineChars="3000" w:firstLine="7200"/>
        <w:rPr>
          <w:rFonts w:ascii="宋体" w:hAnsi="宋体"/>
          <w:sz w:val="24"/>
        </w:rPr>
      </w:pPr>
      <w:r>
        <w:rPr>
          <w:rFonts w:ascii="宋体" w:hAnsi="宋体" w:hint="eastAsia"/>
          <w:sz w:val="24"/>
        </w:rPr>
        <w:t>单位：万元</w:t>
      </w:r>
      <w:bookmarkStart w:id="0" w:name="_GoBack"/>
      <w:bookmarkEnd w:id="0"/>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539"/>
        <w:gridCol w:w="1582"/>
        <w:gridCol w:w="1594"/>
        <w:gridCol w:w="1623"/>
      </w:tblGrid>
      <w:tr w:rsidR="005D6707" w:rsidTr="002B3178">
        <w:trPr>
          <w:trHeight w:hRule="exact" w:val="525"/>
          <w:jc w:val="center"/>
        </w:trPr>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6707" w:rsidRPr="00B525DC" w:rsidRDefault="005D6707" w:rsidP="0054130C">
            <w:pPr>
              <w:jc w:val="center"/>
              <w:rPr>
                <w:rFonts w:ascii="宋体" w:hAnsi="宋体"/>
                <w:b/>
                <w:sz w:val="20"/>
                <w:szCs w:val="20"/>
              </w:rPr>
            </w:pPr>
            <w:r w:rsidRPr="00B525DC">
              <w:rPr>
                <w:b/>
                <w:sz w:val="20"/>
                <w:szCs w:val="20"/>
              </w:rPr>
              <w:t>  </w:t>
            </w:r>
            <w:r w:rsidRPr="00B525DC">
              <w:rPr>
                <w:rFonts w:ascii="宋体" w:hAnsi="宋体" w:hint="eastAsia"/>
                <w:b/>
                <w:sz w:val="20"/>
                <w:szCs w:val="20"/>
              </w:rPr>
              <w:t>关联方</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6707" w:rsidRPr="00B525DC" w:rsidRDefault="005D6707" w:rsidP="0054130C">
            <w:pPr>
              <w:jc w:val="center"/>
              <w:rPr>
                <w:b/>
                <w:sz w:val="20"/>
                <w:szCs w:val="20"/>
              </w:rPr>
            </w:pPr>
            <w:r w:rsidRPr="00B525DC">
              <w:rPr>
                <w:rFonts w:hint="eastAsia"/>
                <w:b/>
                <w:sz w:val="20"/>
                <w:szCs w:val="20"/>
              </w:rPr>
              <w:t>总资产</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6707" w:rsidRPr="00B525DC" w:rsidRDefault="005D6707" w:rsidP="0054130C">
            <w:pPr>
              <w:jc w:val="center"/>
              <w:rPr>
                <w:b/>
                <w:sz w:val="20"/>
                <w:szCs w:val="20"/>
              </w:rPr>
            </w:pPr>
            <w:r w:rsidRPr="00B525DC">
              <w:rPr>
                <w:rFonts w:hint="eastAsia"/>
                <w:b/>
                <w:sz w:val="20"/>
                <w:szCs w:val="20"/>
              </w:rPr>
              <w:t>净资产</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D6707" w:rsidRPr="00B525DC" w:rsidRDefault="005D6707" w:rsidP="0054130C">
            <w:pPr>
              <w:jc w:val="center"/>
              <w:rPr>
                <w:b/>
                <w:sz w:val="20"/>
                <w:szCs w:val="20"/>
              </w:rPr>
            </w:pPr>
            <w:r w:rsidRPr="00B525DC">
              <w:rPr>
                <w:rFonts w:hint="eastAsia"/>
                <w:b/>
                <w:sz w:val="20"/>
                <w:szCs w:val="20"/>
              </w:rPr>
              <w:t>主营业务收入</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6707" w:rsidRPr="00B525DC" w:rsidRDefault="005D6707" w:rsidP="0054130C">
            <w:pPr>
              <w:jc w:val="center"/>
              <w:rPr>
                <w:b/>
                <w:sz w:val="20"/>
                <w:szCs w:val="20"/>
              </w:rPr>
            </w:pPr>
            <w:r w:rsidRPr="00B525DC">
              <w:rPr>
                <w:rFonts w:hint="eastAsia"/>
                <w:b/>
                <w:sz w:val="20"/>
                <w:szCs w:val="20"/>
              </w:rPr>
              <w:t>净利润</w:t>
            </w:r>
          </w:p>
        </w:tc>
      </w:tr>
      <w:tr w:rsidR="00DE5192" w:rsidTr="00142AD9">
        <w:trPr>
          <w:trHeight w:hRule="exact" w:val="465"/>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DE5192" w:rsidRPr="004859DE" w:rsidRDefault="00DE5192" w:rsidP="00534AE4">
            <w:pPr>
              <w:widowControl/>
              <w:jc w:val="center"/>
              <w:rPr>
                <w:rFonts w:ascii="宋体" w:hAnsi="宋体"/>
                <w:sz w:val="20"/>
              </w:rPr>
            </w:pPr>
            <w:r>
              <w:rPr>
                <w:rFonts w:ascii="宋体" w:hAnsi="宋体" w:hint="eastAsia"/>
                <w:sz w:val="20"/>
              </w:rPr>
              <w:t>宁波美的联合物资</w:t>
            </w:r>
          </w:p>
        </w:tc>
        <w:tc>
          <w:tcPr>
            <w:tcW w:w="1539" w:type="dxa"/>
            <w:tcBorders>
              <w:top w:val="single" w:sz="4" w:space="0" w:color="auto"/>
              <w:left w:val="single" w:sz="4" w:space="0" w:color="auto"/>
              <w:bottom w:val="single" w:sz="4" w:space="0" w:color="auto"/>
              <w:right w:val="single" w:sz="4" w:space="0" w:color="auto"/>
            </w:tcBorders>
            <w:vAlign w:val="center"/>
          </w:tcPr>
          <w:p w:rsidR="00DE5192" w:rsidRPr="00F73C3B" w:rsidRDefault="00DE5192" w:rsidP="00181E8C">
            <w:pPr>
              <w:jc w:val="center"/>
              <w:rPr>
                <w:rFonts w:ascii="宋体" w:hAnsi="宋体"/>
                <w:sz w:val="20"/>
              </w:rPr>
            </w:pPr>
            <w:r>
              <w:rPr>
                <w:rFonts w:ascii="宋体" w:hAnsi="宋体" w:hint="eastAsia"/>
                <w:sz w:val="20"/>
              </w:rPr>
              <w:t>202,798</w:t>
            </w:r>
          </w:p>
        </w:tc>
        <w:tc>
          <w:tcPr>
            <w:tcW w:w="1582" w:type="dxa"/>
            <w:tcBorders>
              <w:top w:val="single" w:sz="4" w:space="0" w:color="auto"/>
              <w:left w:val="single" w:sz="4" w:space="0" w:color="auto"/>
              <w:bottom w:val="single" w:sz="4" w:space="0" w:color="auto"/>
              <w:right w:val="single" w:sz="4" w:space="0" w:color="auto"/>
            </w:tcBorders>
            <w:vAlign w:val="center"/>
          </w:tcPr>
          <w:p w:rsidR="00DE5192" w:rsidRPr="00F73C3B" w:rsidRDefault="00DE5192" w:rsidP="00181E8C">
            <w:pPr>
              <w:jc w:val="center"/>
              <w:rPr>
                <w:rFonts w:ascii="宋体" w:hAnsi="宋体"/>
                <w:sz w:val="20"/>
              </w:rPr>
            </w:pPr>
            <w:r>
              <w:rPr>
                <w:rFonts w:ascii="宋体" w:hAnsi="宋体" w:hint="eastAsia"/>
                <w:sz w:val="20"/>
              </w:rPr>
              <w:t>99,635</w:t>
            </w:r>
          </w:p>
        </w:tc>
        <w:tc>
          <w:tcPr>
            <w:tcW w:w="15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E5192" w:rsidRPr="00F73C3B" w:rsidRDefault="00DE5192" w:rsidP="00181E8C">
            <w:pPr>
              <w:jc w:val="center"/>
              <w:rPr>
                <w:rFonts w:ascii="宋体" w:hAnsi="宋体"/>
                <w:sz w:val="20"/>
              </w:rPr>
            </w:pPr>
            <w:r>
              <w:rPr>
                <w:rFonts w:ascii="宋体" w:hAnsi="宋体" w:hint="eastAsia"/>
                <w:sz w:val="20"/>
              </w:rPr>
              <w:t>905,352</w:t>
            </w:r>
          </w:p>
        </w:tc>
        <w:tc>
          <w:tcPr>
            <w:tcW w:w="1623" w:type="dxa"/>
            <w:tcBorders>
              <w:top w:val="single" w:sz="4" w:space="0" w:color="auto"/>
              <w:left w:val="single" w:sz="4" w:space="0" w:color="auto"/>
              <w:bottom w:val="single" w:sz="4" w:space="0" w:color="auto"/>
              <w:right w:val="single" w:sz="4" w:space="0" w:color="auto"/>
            </w:tcBorders>
            <w:vAlign w:val="center"/>
          </w:tcPr>
          <w:p w:rsidR="00DE5192" w:rsidRPr="00F73C3B" w:rsidRDefault="00DE5192" w:rsidP="00181E8C">
            <w:pPr>
              <w:jc w:val="center"/>
              <w:rPr>
                <w:rFonts w:ascii="宋体" w:hAnsi="宋体"/>
                <w:sz w:val="20"/>
              </w:rPr>
            </w:pPr>
            <w:r>
              <w:rPr>
                <w:rFonts w:ascii="宋体" w:hAnsi="宋体" w:hint="eastAsia"/>
                <w:sz w:val="20"/>
              </w:rPr>
              <w:t>35,326</w:t>
            </w:r>
          </w:p>
        </w:tc>
      </w:tr>
    </w:tbl>
    <w:p w:rsidR="00993BBC" w:rsidRDefault="00247000" w:rsidP="0094415A">
      <w:pPr>
        <w:spacing w:line="360" w:lineRule="auto"/>
        <w:ind w:firstLineChars="200" w:firstLine="482"/>
        <w:rPr>
          <w:rFonts w:ascii="宋体" w:hAnsi="宋体"/>
          <w:b/>
          <w:bCs/>
          <w:sz w:val="24"/>
        </w:rPr>
      </w:pPr>
      <w:r>
        <w:rPr>
          <w:rFonts w:ascii="宋体" w:hAnsi="宋体"/>
          <w:b/>
          <w:bCs/>
          <w:sz w:val="24"/>
        </w:rPr>
        <w:t>3</w:t>
      </w:r>
      <w:r w:rsidR="00993BBC">
        <w:rPr>
          <w:rFonts w:ascii="宋体" w:hAnsi="宋体" w:hint="eastAsia"/>
          <w:b/>
          <w:bCs/>
          <w:sz w:val="24"/>
        </w:rPr>
        <w:t>、与关联方之关联关系说明</w:t>
      </w:r>
    </w:p>
    <w:p w:rsidR="00E6790D" w:rsidRPr="00E6790D" w:rsidRDefault="009A4238" w:rsidP="0094415A">
      <w:pPr>
        <w:spacing w:line="360" w:lineRule="auto"/>
        <w:ind w:firstLineChars="196" w:firstLine="470"/>
        <w:rPr>
          <w:rFonts w:ascii="宋体" w:hAnsi="宋体"/>
          <w:sz w:val="24"/>
        </w:rPr>
      </w:pPr>
      <w:r>
        <w:rPr>
          <w:rFonts w:ascii="宋体" w:hAnsi="宋体" w:hint="eastAsia"/>
          <w:sz w:val="24"/>
        </w:rPr>
        <w:t>关联企业</w:t>
      </w:r>
      <w:r w:rsidR="00E6790D" w:rsidRPr="00EA499D">
        <w:rPr>
          <w:rFonts w:ascii="宋体" w:hAnsi="宋体" w:hint="eastAsia"/>
          <w:sz w:val="24"/>
        </w:rPr>
        <w:t>系公司控股股东控制</w:t>
      </w:r>
      <w:r w:rsidR="00820FB9">
        <w:rPr>
          <w:rFonts w:ascii="宋体" w:hAnsi="宋体" w:hint="eastAsia"/>
          <w:sz w:val="24"/>
        </w:rPr>
        <w:t>的</w:t>
      </w:r>
      <w:r w:rsidR="00E6790D" w:rsidRPr="00EA499D">
        <w:rPr>
          <w:rFonts w:ascii="宋体" w:hAnsi="宋体" w:hint="eastAsia"/>
          <w:sz w:val="24"/>
        </w:rPr>
        <w:t>子公司。</w:t>
      </w:r>
    </w:p>
    <w:p w:rsidR="00993BBC" w:rsidRDefault="00247000" w:rsidP="0094415A">
      <w:pPr>
        <w:spacing w:line="360" w:lineRule="auto"/>
        <w:ind w:firstLineChars="196" w:firstLine="472"/>
        <w:rPr>
          <w:rFonts w:ascii="宋体" w:hAnsi="宋体"/>
          <w:b/>
          <w:bCs/>
          <w:sz w:val="24"/>
        </w:rPr>
      </w:pPr>
      <w:r>
        <w:rPr>
          <w:rFonts w:ascii="宋体" w:hAnsi="宋体"/>
          <w:b/>
          <w:bCs/>
          <w:sz w:val="24"/>
        </w:rPr>
        <w:t>4</w:t>
      </w:r>
      <w:r w:rsidR="00993BBC">
        <w:rPr>
          <w:rFonts w:ascii="宋体" w:hAnsi="宋体" w:hint="eastAsia"/>
          <w:b/>
          <w:bCs/>
          <w:sz w:val="24"/>
        </w:rPr>
        <w:t>、履约能力分析</w:t>
      </w:r>
    </w:p>
    <w:p w:rsidR="00D57230" w:rsidRPr="00D57230" w:rsidRDefault="009A4238" w:rsidP="0094415A">
      <w:pPr>
        <w:spacing w:line="360" w:lineRule="auto"/>
        <w:ind w:firstLineChars="196" w:firstLine="470"/>
        <w:rPr>
          <w:rFonts w:ascii="宋体" w:hAnsi="宋体"/>
          <w:sz w:val="24"/>
        </w:rPr>
      </w:pPr>
      <w:r>
        <w:rPr>
          <w:rFonts w:ascii="宋体" w:hAnsi="宋体" w:hint="eastAsia"/>
          <w:sz w:val="24"/>
        </w:rPr>
        <w:t>关联企业</w:t>
      </w:r>
      <w:proofErr w:type="gramStart"/>
      <w:r w:rsidR="00D57230" w:rsidRPr="00EA499D">
        <w:rPr>
          <w:rFonts w:ascii="宋体" w:hAnsi="宋体" w:hint="eastAsia"/>
          <w:sz w:val="24"/>
        </w:rPr>
        <w:t>系依法</w:t>
      </w:r>
      <w:proofErr w:type="gramEnd"/>
      <w:r w:rsidR="00D57230" w:rsidRPr="00EA499D">
        <w:rPr>
          <w:rFonts w:ascii="宋体" w:hAnsi="宋体" w:hint="eastAsia"/>
          <w:sz w:val="24"/>
        </w:rPr>
        <w:t>注册成立，依法存续并持续经营的法人主体，生产经营正常，财务状况良好，具有良好的履约能力。</w:t>
      </w:r>
      <w:r w:rsidR="001A32D7">
        <w:rPr>
          <w:rFonts w:ascii="宋体" w:hAnsi="宋体" w:hint="eastAsia"/>
          <w:sz w:val="24"/>
        </w:rPr>
        <w:t>经查询，</w:t>
      </w:r>
      <w:r>
        <w:rPr>
          <w:rFonts w:ascii="宋体" w:hAnsi="宋体" w:hint="eastAsia"/>
          <w:sz w:val="24"/>
        </w:rPr>
        <w:t>关联</w:t>
      </w:r>
      <w:r w:rsidR="001A32D7">
        <w:rPr>
          <w:rFonts w:ascii="宋体" w:hAnsi="宋体" w:hint="eastAsia"/>
          <w:sz w:val="24"/>
        </w:rPr>
        <w:t>企业</w:t>
      </w:r>
      <w:r w:rsidR="00444A11">
        <w:rPr>
          <w:rFonts w:ascii="宋体" w:hAnsi="宋体" w:hint="eastAsia"/>
          <w:sz w:val="24"/>
        </w:rPr>
        <w:t>不是</w:t>
      </w:r>
      <w:r w:rsidR="00444A11" w:rsidRPr="00444A11">
        <w:rPr>
          <w:rFonts w:ascii="宋体" w:hAnsi="宋体"/>
          <w:sz w:val="24"/>
        </w:rPr>
        <w:t>失信责任主体</w:t>
      </w:r>
      <w:r w:rsidR="00444A11" w:rsidRPr="00444A11">
        <w:rPr>
          <w:rFonts w:ascii="宋体" w:hAnsi="宋体" w:hint="eastAsia"/>
          <w:sz w:val="24"/>
        </w:rPr>
        <w:t>。</w:t>
      </w:r>
    </w:p>
    <w:p w:rsidR="00941F00" w:rsidRPr="007C0F14" w:rsidRDefault="00941F00" w:rsidP="0094415A">
      <w:pPr>
        <w:autoSpaceDE w:val="0"/>
        <w:autoSpaceDN w:val="0"/>
        <w:adjustRightInd w:val="0"/>
        <w:spacing w:line="360" w:lineRule="auto"/>
        <w:rPr>
          <w:rFonts w:ascii="宋体" w:hAnsi="宋体"/>
          <w:b/>
          <w:bCs/>
          <w:sz w:val="24"/>
        </w:rPr>
      </w:pPr>
      <w:r w:rsidRPr="007C0F14">
        <w:rPr>
          <w:rFonts w:ascii="宋体" w:hAnsi="宋体" w:hint="eastAsia"/>
          <w:b/>
          <w:bCs/>
          <w:sz w:val="24"/>
        </w:rPr>
        <w:t>三、关联交易主要内容</w:t>
      </w:r>
    </w:p>
    <w:p w:rsidR="002374B6" w:rsidRPr="00781C2C" w:rsidRDefault="002374B6" w:rsidP="0094415A">
      <w:pPr>
        <w:autoSpaceDE w:val="0"/>
        <w:autoSpaceDN w:val="0"/>
        <w:spacing w:line="360" w:lineRule="auto"/>
        <w:rPr>
          <w:rFonts w:ascii="宋体" w:hAnsi="宋体"/>
          <w:b/>
          <w:sz w:val="24"/>
        </w:rPr>
      </w:pPr>
      <w:r>
        <w:rPr>
          <w:rFonts w:ascii="宋体" w:hAnsi="宋体" w:hint="eastAsia"/>
          <w:sz w:val="24"/>
        </w:rPr>
        <w:t xml:space="preserve">　</w:t>
      </w:r>
      <w:r w:rsidRPr="00781C2C">
        <w:rPr>
          <w:rFonts w:ascii="宋体" w:hAnsi="宋体" w:hint="eastAsia"/>
          <w:b/>
          <w:sz w:val="24"/>
        </w:rPr>
        <w:t xml:space="preserve">　（一）关联交易</w:t>
      </w:r>
      <w:r>
        <w:rPr>
          <w:rFonts w:ascii="宋体" w:hAnsi="宋体" w:hint="eastAsia"/>
          <w:b/>
          <w:sz w:val="24"/>
        </w:rPr>
        <w:t>定价原则</w:t>
      </w:r>
      <w:r w:rsidRPr="00781C2C">
        <w:rPr>
          <w:rFonts w:ascii="宋体" w:hAnsi="宋体"/>
          <w:b/>
          <w:sz w:val="24"/>
        </w:rPr>
        <w:t xml:space="preserve"> </w:t>
      </w:r>
    </w:p>
    <w:p w:rsidR="002374B6" w:rsidRPr="00864BD2" w:rsidRDefault="002374B6" w:rsidP="0094415A">
      <w:pPr>
        <w:autoSpaceDE w:val="0"/>
        <w:autoSpaceDN w:val="0"/>
        <w:spacing w:line="360" w:lineRule="auto"/>
        <w:ind w:firstLineChars="200" w:firstLine="480"/>
        <w:rPr>
          <w:rFonts w:ascii="宋体" w:hAnsi="宋体"/>
          <w:sz w:val="24"/>
        </w:rPr>
      </w:pPr>
      <w:r w:rsidRPr="00864BD2">
        <w:rPr>
          <w:rFonts w:ascii="宋体" w:hAnsi="宋体" w:hint="eastAsia"/>
          <w:sz w:val="24"/>
        </w:rPr>
        <w:t>上述日常关联交易价格均遵循公平合理的定价原则，以市场价格为基础，双方根据自愿、平等、互惠互利原则签署交易框架协议，并保证提供的产品的价格不偏离第三方价格。执行市场价格时，双方可随时根据市场价格变化情况对关联交易价格进行相应调整。</w:t>
      </w:r>
      <w:r w:rsidRPr="00864BD2">
        <w:rPr>
          <w:rFonts w:ascii="宋体" w:hAnsi="宋体"/>
          <w:sz w:val="24"/>
        </w:rPr>
        <w:t xml:space="preserve"> </w:t>
      </w:r>
    </w:p>
    <w:p w:rsidR="002374B6" w:rsidRPr="00781C2C" w:rsidRDefault="002374B6" w:rsidP="0094415A">
      <w:pPr>
        <w:autoSpaceDE w:val="0"/>
        <w:autoSpaceDN w:val="0"/>
        <w:spacing w:line="360" w:lineRule="auto"/>
        <w:ind w:firstLineChars="200" w:firstLine="482"/>
        <w:rPr>
          <w:rFonts w:ascii="宋体" w:hAnsi="宋体"/>
          <w:b/>
          <w:sz w:val="24"/>
        </w:rPr>
      </w:pPr>
      <w:r w:rsidRPr="00781C2C">
        <w:rPr>
          <w:rFonts w:ascii="宋体" w:hAnsi="宋体" w:hint="eastAsia"/>
          <w:b/>
          <w:sz w:val="24"/>
        </w:rPr>
        <w:t>（二）关联交易协议</w:t>
      </w:r>
      <w:r>
        <w:rPr>
          <w:rFonts w:ascii="宋体" w:hAnsi="宋体" w:hint="eastAsia"/>
          <w:b/>
          <w:sz w:val="24"/>
        </w:rPr>
        <w:t>主要内容</w:t>
      </w:r>
    </w:p>
    <w:p w:rsidR="002374B6" w:rsidRDefault="002374B6" w:rsidP="0094415A">
      <w:pPr>
        <w:spacing w:line="360" w:lineRule="auto"/>
        <w:ind w:firstLineChars="200" w:firstLine="480"/>
        <w:rPr>
          <w:rFonts w:ascii="宋体" w:hAnsi="宋体"/>
          <w:sz w:val="24"/>
        </w:rPr>
      </w:pPr>
      <w:r>
        <w:rPr>
          <w:rFonts w:ascii="宋体" w:hAnsi="宋体" w:hint="eastAsia"/>
          <w:sz w:val="24"/>
        </w:rPr>
        <w:t>（1）交易主体、交易</w:t>
      </w:r>
      <w:r w:rsidRPr="00A01B3E">
        <w:rPr>
          <w:rFonts w:ascii="宋体" w:hAnsi="宋体" w:hint="eastAsia"/>
          <w:sz w:val="24"/>
        </w:rPr>
        <w:t>内容和协议最高金额</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92"/>
        <w:gridCol w:w="1875"/>
        <w:gridCol w:w="3628"/>
        <w:gridCol w:w="1560"/>
      </w:tblGrid>
      <w:tr w:rsidR="002374B6" w:rsidRPr="00FC5A1B" w:rsidTr="00142AD9">
        <w:trPr>
          <w:trHeight w:val="385"/>
          <w:jc w:val="center"/>
        </w:trPr>
        <w:tc>
          <w:tcPr>
            <w:tcW w:w="625" w:type="dxa"/>
            <w:shd w:val="clear" w:color="auto" w:fill="D9D9D9"/>
            <w:vAlign w:val="center"/>
            <w:hideMark/>
          </w:tcPr>
          <w:p w:rsidR="002374B6" w:rsidRPr="00FC5A1B" w:rsidRDefault="002374B6" w:rsidP="00534AE4">
            <w:pPr>
              <w:jc w:val="center"/>
              <w:rPr>
                <w:b/>
                <w:color w:val="000000"/>
                <w:sz w:val="20"/>
              </w:rPr>
            </w:pPr>
            <w:r w:rsidRPr="00FC5A1B">
              <w:rPr>
                <w:rFonts w:hint="eastAsia"/>
                <w:b/>
                <w:color w:val="000000"/>
                <w:sz w:val="20"/>
              </w:rPr>
              <w:t>序号</w:t>
            </w:r>
          </w:p>
        </w:tc>
        <w:tc>
          <w:tcPr>
            <w:tcW w:w="792" w:type="dxa"/>
            <w:shd w:val="clear" w:color="auto" w:fill="D9D9D9"/>
            <w:vAlign w:val="center"/>
            <w:hideMark/>
          </w:tcPr>
          <w:p w:rsidR="002374B6" w:rsidRPr="00FC5A1B" w:rsidRDefault="002374B6" w:rsidP="00534AE4">
            <w:pPr>
              <w:jc w:val="center"/>
              <w:rPr>
                <w:b/>
                <w:color w:val="000000"/>
                <w:sz w:val="20"/>
                <w:szCs w:val="18"/>
              </w:rPr>
            </w:pPr>
            <w:r w:rsidRPr="00FC5A1B">
              <w:rPr>
                <w:rFonts w:hint="eastAsia"/>
                <w:b/>
                <w:color w:val="000000"/>
                <w:sz w:val="20"/>
                <w:szCs w:val="18"/>
              </w:rPr>
              <w:t>甲方</w:t>
            </w:r>
          </w:p>
        </w:tc>
        <w:tc>
          <w:tcPr>
            <w:tcW w:w="1875" w:type="dxa"/>
            <w:shd w:val="clear" w:color="auto" w:fill="D9D9D9"/>
            <w:vAlign w:val="center"/>
            <w:hideMark/>
          </w:tcPr>
          <w:p w:rsidR="002374B6" w:rsidRPr="00FC5A1B" w:rsidRDefault="002374B6" w:rsidP="00534AE4">
            <w:pPr>
              <w:jc w:val="center"/>
              <w:rPr>
                <w:b/>
                <w:color w:val="000000"/>
                <w:sz w:val="20"/>
                <w:szCs w:val="18"/>
              </w:rPr>
            </w:pPr>
            <w:r w:rsidRPr="00FC5A1B">
              <w:rPr>
                <w:rFonts w:hint="eastAsia"/>
                <w:b/>
                <w:color w:val="000000"/>
                <w:sz w:val="20"/>
                <w:szCs w:val="18"/>
              </w:rPr>
              <w:t>乙方</w:t>
            </w:r>
          </w:p>
        </w:tc>
        <w:tc>
          <w:tcPr>
            <w:tcW w:w="3628" w:type="dxa"/>
            <w:shd w:val="clear" w:color="auto" w:fill="D9D9D9"/>
            <w:vAlign w:val="center"/>
            <w:hideMark/>
          </w:tcPr>
          <w:p w:rsidR="002374B6" w:rsidRPr="00FC5A1B" w:rsidRDefault="002374B6" w:rsidP="00534AE4">
            <w:pPr>
              <w:jc w:val="center"/>
              <w:rPr>
                <w:b/>
                <w:color w:val="000000"/>
                <w:sz w:val="20"/>
                <w:szCs w:val="18"/>
              </w:rPr>
            </w:pPr>
            <w:r>
              <w:rPr>
                <w:rFonts w:hint="eastAsia"/>
                <w:b/>
                <w:color w:val="000000"/>
                <w:sz w:val="20"/>
                <w:szCs w:val="18"/>
              </w:rPr>
              <w:t>关联交易内容</w:t>
            </w:r>
          </w:p>
        </w:tc>
        <w:tc>
          <w:tcPr>
            <w:tcW w:w="1560" w:type="dxa"/>
            <w:shd w:val="clear" w:color="auto" w:fill="D9D9D9"/>
            <w:vAlign w:val="center"/>
            <w:hideMark/>
          </w:tcPr>
          <w:p w:rsidR="002374B6" w:rsidRDefault="002374B6" w:rsidP="00534AE4">
            <w:pPr>
              <w:jc w:val="center"/>
              <w:rPr>
                <w:b/>
                <w:color w:val="000000"/>
                <w:sz w:val="18"/>
                <w:szCs w:val="18"/>
              </w:rPr>
            </w:pPr>
            <w:r w:rsidRPr="00FC5A1B">
              <w:rPr>
                <w:rFonts w:hint="eastAsia"/>
                <w:b/>
                <w:color w:val="000000"/>
                <w:sz w:val="18"/>
                <w:szCs w:val="18"/>
              </w:rPr>
              <w:t>协议最高金额</w:t>
            </w:r>
          </w:p>
          <w:p w:rsidR="002374B6" w:rsidRPr="00FC5A1B" w:rsidRDefault="002374B6" w:rsidP="00534AE4">
            <w:pPr>
              <w:jc w:val="center"/>
              <w:rPr>
                <w:b/>
                <w:color w:val="000000"/>
                <w:sz w:val="18"/>
                <w:szCs w:val="18"/>
              </w:rPr>
            </w:pPr>
            <w:r w:rsidRPr="00FC5A1B">
              <w:rPr>
                <w:rFonts w:hint="eastAsia"/>
                <w:b/>
                <w:color w:val="000000"/>
                <w:sz w:val="18"/>
                <w:szCs w:val="18"/>
              </w:rPr>
              <w:t>（</w:t>
            </w:r>
            <w:r w:rsidR="00000D20">
              <w:rPr>
                <w:rFonts w:hint="eastAsia"/>
                <w:b/>
                <w:color w:val="000000"/>
                <w:sz w:val="18"/>
                <w:szCs w:val="18"/>
              </w:rPr>
              <w:t>单位：</w:t>
            </w:r>
            <w:r w:rsidRPr="00FC5A1B">
              <w:rPr>
                <w:rFonts w:hint="eastAsia"/>
                <w:b/>
                <w:color w:val="000000"/>
                <w:sz w:val="18"/>
                <w:szCs w:val="18"/>
              </w:rPr>
              <w:t>万元）</w:t>
            </w:r>
          </w:p>
        </w:tc>
      </w:tr>
      <w:tr w:rsidR="002374B6" w:rsidRPr="00214C56" w:rsidTr="00142AD9">
        <w:trPr>
          <w:trHeight w:val="438"/>
          <w:jc w:val="center"/>
        </w:trPr>
        <w:tc>
          <w:tcPr>
            <w:tcW w:w="625" w:type="dxa"/>
            <w:shd w:val="clear" w:color="auto" w:fill="auto"/>
            <w:vAlign w:val="center"/>
          </w:tcPr>
          <w:p w:rsidR="002374B6" w:rsidRPr="003536BE" w:rsidRDefault="000B1A86" w:rsidP="00534AE4">
            <w:pPr>
              <w:jc w:val="center"/>
              <w:rPr>
                <w:rFonts w:ascii="宋体" w:hAnsi="宋体"/>
                <w:color w:val="000000"/>
                <w:sz w:val="20"/>
              </w:rPr>
            </w:pPr>
            <w:r>
              <w:rPr>
                <w:rFonts w:ascii="宋体" w:hAnsi="宋体" w:hint="eastAsia"/>
                <w:color w:val="000000"/>
                <w:sz w:val="20"/>
              </w:rPr>
              <w:t>1</w:t>
            </w:r>
          </w:p>
        </w:tc>
        <w:tc>
          <w:tcPr>
            <w:tcW w:w="792" w:type="dxa"/>
            <w:shd w:val="clear" w:color="auto" w:fill="auto"/>
            <w:vAlign w:val="center"/>
          </w:tcPr>
          <w:p w:rsidR="002374B6" w:rsidRDefault="002374B6" w:rsidP="00534AE4">
            <w:pPr>
              <w:jc w:val="center"/>
            </w:pPr>
            <w:r w:rsidRPr="00972683">
              <w:rPr>
                <w:rFonts w:hint="eastAsia"/>
                <w:color w:val="000000"/>
                <w:sz w:val="18"/>
                <w:szCs w:val="18"/>
              </w:rPr>
              <w:t>本公司</w:t>
            </w:r>
          </w:p>
        </w:tc>
        <w:tc>
          <w:tcPr>
            <w:tcW w:w="1875" w:type="dxa"/>
            <w:shd w:val="clear" w:color="auto" w:fill="auto"/>
            <w:vAlign w:val="center"/>
          </w:tcPr>
          <w:p w:rsidR="002374B6" w:rsidRPr="00967E81" w:rsidRDefault="002374B6" w:rsidP="00534AE4">
            <w:pPr>
              <w:jc w:val="center"/>
              <w:rPr>
                <w:color w:val="000000"/>
                <w:sz w:val="20"/>
              </w:rPr>
            </w:pPr>
            <w:r w:rsidRPr="00967E81">
              <w:rPr>
                <w:rFonts w:hint="eastAsia"/>
                <w:color w:val="000000"/>
                <w:sz w:val="20"/>
              </w:rPr>
              <w:t>宁波美的联合物资</w:t>
            </w:r>
          </w:p>
        </w:tc>
        <w:tc>
          <w:tcPr>
            <w:tcW w:w="3628" w:type="dxa"/>
            <w:shd w:val="clear" w:color="auto" w:fill="auto"/>
            <w:vAlign w:val="center"/>
          </w:tcPr>
          <w:p w:rsidR="002374B6" w:rsidRPr="00FC5A1B" w:rsidRDefault="002374B6" w:rsidP="00534AE4">
            <w:pPr>
              <w:rPr>
                <w:color w:val="000000"/>
                <w:sz w:val="18"/>
              </w:rPr>
            </w:pPr>
            <w:r w:rsidRPr="00FC5A1B">
              <w:rPr>
                <w:rFonts w:hint="eastAsia"/>
                <w:color w:val="000000"/>
                <w:sz w:val="18"/>
              </w:rPr>
              <w:t>甲方向乙方采购</w:t>
            </w:r>
            <w:r w:rsidRPr="00967E81">
              <w:rPr>
                <w:rFonts w:hint="eastAsia"/>
                <w:color w:val="000000"/>
                <w:sz w:val="18"/>
              </w:rPr>
              <w:t>塑料原料</w:t>
            </w:r>
            <w:r>
              <w:rPr>
                <w:rFonts w:hint="eastAsia"/>
                <w:color w:val="000000"/>
                <w:sz w:val="18"/>
              </w:rPr>
              <w:t>及</w:t>
            </w:r>
            <w:r w:rsidRPr="00967E81">
              <w:rPr>
                <w:rFonts w:hint="eastAsia"/>
                <w:color w:val="000000"/>
                <w:sz w:val="18"/>
              </w:rPr>
              <w:t>钢材</w:t>
            </w:r>
            <w:r w:rsidRPr="00FC5A1B">
              <w:rPr>
                <w:rFonts w:hint="eastAsia"/>
                <w:color w:val="000000"/>
                <w:sz w:val="18"/>
              </w:rPr>
              <w:t>等产品</w:t>
            </w:r>
          </w:p>
        </w:tc>
        <w:tc>
          <w:tcPr>
            <w:tcW w:w="1560" w:type="dxa"/>
            <w:shd w:val="clear" w:color="auto" w:fill="auto"/>
            <w:vAlign w:val="center"/>
          </w:tcPr>
          <w:p w:rsidR="002374B6" w:rsidRPr="00967E81" w:rsidRDefault="005354AF" w:rsidP="000B1A86">
            <w:pPr>
              <w:jc w:val="center"/>
              <w:rPr>
                <w:rFonts w:ascii="宋体" w:hAnsi="宋体"/>
                <w:color w:val="000000"/>
                <w:sz w:val="20"/>
              </w:rPr>
            </w:pPr>
            <w:r>
              <w:rPr>
                <w:rFonts w:ascii="宋体" w:hAnsi="宋体" w:hint="eastAsia"/>
                <w:color w:val="000000"/>
                <w:sz w:val="20"/>
              </w:rPr>
              <w:t>193</w:t>
            </w:r>
            <w:r w:rsidR="002374B6" w:rsidRPr="00967E81">
              <w:rPr>
                <w:rFonts w:ascii="宋体" w:hAnsi="宋体" w:hint="eastAsia"/>
                <w:color w:val="000000"/>
                <w:sz w:val="20"/>
              </w:rPr>
              <w:t>,000</w:t>
            </w:r>
          </w:p>
        </w:tc>
      </w:tr>
    </w:tbl>
    <w:p w:rsidR="002374B6" w:rsidRDefault="002374B6" w:rsidP="0094415A">
      <w:pPr>
        <w:spacing w:line="360" w:lineRule="auto"/>
        <w:ind w:firstLineChars="200" w:firstLine="480"/>
        <w:rPr>
          <w:rFonts w:ascii="宋体" w:hAnsi="宋体"/>
          <w:sz w:val="24"/>
        </w:rPr>
      </w:pPr>
      <w:r>
        <w:rPr>
          <w:rFonts w:ascii="宋体" w:hAnsi="宋体" w:hint="eastAsia"/>
          <w:sz w:val="24"/>
        </w:rPr>
        <w:t>（2）结算方式</w:t>
      </w:r>
    </w:p>
    <w:p w:rsidR="009A4238" w:rsidRDefault="002374B6" w:rsidP="0094415A">
      <w:pPr>
        <w:spacing w:line="360" w:lineRule="auto"/>
        <w:ind w:firstLineChars="200" w:firstLine="480"/>
        <w:rPr>
          <w:rFonts w:ascii="宋体" w:hAnsi="宋体"/>
          <w:sz w:val="24"/>
        </w:rPr>
      </w:pPr>
      <w:r w:rsidRPr="00174631">
        <w:rPr>
          <w:rFonts w:ascii="宋体" w:hAnsi="宋体" w:hint="eastAsia"/>
          <w:sz w:val="24"/>
        </w:rPr>
        <w:t>甲方在收到乙方供货后</w:t>
      </w:r>
      <w:r>
        <w:rPr>
          <w:rFonts w:ascii="宋体" w:hAnsi="宋体" w:hint="eastAsia"/>
          <w:sz w:val="24"/>
        </w:rPr>
        <w:t>,</w:t>
      </w:r>
      <w:r w:rsidRPr="00174631">
        <w:rPr>
          <w:rFonts w:ascii="宋体" w:hAnsi="宋体" w:hint="eastAsia"/>
          <w:sz w:val="24"/>
        </w:rPr>
        <w:t>付给乙方现汇或6</w:t>
      </w:r>
      <w:r w:rsidR="00820FB9">
        <w:rPr>
          <w:rFonts w:ascii="宋体" w:hAnsi="宋体" w:hint="eastAsia"/>
          <w:sz w:val="24"/>
        </w:rPr>
        <w:t>个</w:t>
      </w:r>
      <w:r w:rsidRPr="00174631">
        <w:rPr>
          <w:rFonts w:ascii="宋体" w:hAnsi="宋体" w:hint="eastAsia"/>
          <w:sz w:val="24"/>
        </w:rPr>
        <w:t>月内到期的承兑汇票</w:t>
      </w:r>
      <w:r>
        <w:rPr>
          <w:rFonts w:ascii="宋体" w:hAnsi="宋体" w:hint="eastAsia"/>
          <w:sz w:val="24"/>
        </w:rPr>
        <w:t>。</w:t>
      </w:r>
    </w:p>
    <w:p w:rsidR="002374B6" w:rsidRDefault="002374B6" w:rsidP="0094415A">
      <w:pPr>
        <w:spacing w:line="360" w:lineRule="auto"/>
        <w:ind w:firstLineChars="200" w:firstLine="480"/>
        <w:rPr>
          <w:rFonts w:ascii="宋体" w:hAnsi="宋体"/>
          <w:sz w:val="24"/>
        </w:rPr>
      </w:pPr>
      <w:r>
        <w:rPr>
          <w:rFonts w:ascii="宋体" w:hAnsi="宋体" w:hint="eastAsia"/>
          <w:sz w:val="24"/>
        </w:rPr>
        <w:t>（3）协议生效条件和日期</w:t>
      </w:r>
    </w:p>
    <w:p w:rsidR="002374B6" w:rsidRPr="00174631" w:rsidRDefault="002374B6" w:rsidP="0094415A">
      <w:pPr>
        <w:spacing w:line="360" w:lineRule="auto"/>
        <w:ind w:firstLineChars="200" w:firstLine="480"/>
        <w:rPr>
          <w:rFonts w:ascii="宋体" w:hAnsi="宋体"/>
          <w:sz w:val="24"/>
        </w:rPr>
      </w:pPr>
      <w:r w:rsidRPr="00174631">
        <w:rPr>
          <w:rFonts w:ascii="宋体" w:hAnsi="宋体" w:hint="eastAsia"/>
          <w:sz w:val="24"/>
        </w:rPr>
        <w:t>由甲乙双方签字盖章后经双方有权机构审核通过后生效，自201</w:t>
      </w:r>
      <w:r>
        <w:rPr>
          <w:rFonts w:ascii="宋体" w:hAnsi="宋体" w:hint="eastAsia"/>
          <w:sz w:val="24"/>
        </w:rPr>
        <w:t>7</w:t>
      </w:r>
      <w:r w:rsidRPr="00174631">
        <w:rPr>
          <w:rFonts w:ascii="宋体" w:hAnsi="宋体" w:hint="eastAsia"/>
          <w:sz w:val="24"/>
        </w:rPr>
        <w:t>年1月1日起执行</w:t>
      </w:r>
      <w:r>
        <w:rPr>
          <w:rFonts w:ascii="宋体" w:hAnsi="宋体" w:hint="eastAsia"/>
          <w:sz w:val="24"/>
        </w:rPr>
        <w:t>，有效期一年。</w:t>
      </w:r>
    </w:p>
    <w:p w:rsidR="002374B6" w:rsidRDefault="002374B6" w:rsidP="0094415A">
      <w:pPr>
        <w:spacing w:line="360" w:lineRule="auto"/>
        <w:ind w:firstLineChars="200" w:firstLine="480"/>
        <w:rPr>
          <w:rFonts w:ascii="宋体" w:hAnsi="宋体"/>
          <w:sz w:val="24"/>
        </w:rPr>
      </w:pPr>
      <w:r>
        <w:rPr>
          <w:rFonts w:ascii="宋体" w:hAnsi="宋体" w:hint="eastAsia"/>
          <w:sz w:val="24"/>
        </w:rPr>
        <w:lastRenderedPageBreak/>
        <w:t>（4）</w:t>
      </w:r>
      <w:r w:rsidRPr="00174631">
        <w:rPr>
          <w:rFonts w:ascii="宋体" w:hAnsi="宋体" w:hint="eastAsia"/>
          <w:sz w:val="24"/>
        </w:rPr>
        <w:t>协议其他主要条款：合同期间，甲乙双方经协商一致可变更或解除本合同。但在未解除合同之前，各方仍需严格履行。如因一方违约而给另一方带来经济损失，违约方必须给予守约方相应的赔偿。</w:t>
      </w:r>
    </w:p>
    <w:p w:rsidR="002374B6" w:rsidRDefault="002374B6" w:rsidP="0094415A">
      <w:pPr>
        <w:spacing w:line="360" w:lineRule="auto"/>
        <w:ind w:firstLineChars="200" w:firstLine="480"/>
        <w:rPr>
          <w:rFonts w:ascii="宋体" w:hAnsi="宋体"/>
          <w:sz w:val="24"/>
        </w:rPr>
      </w:pPr>
      <w:r>
        <w:rPr>
          <w:rFonts w:ascii="宋体" w:hAnsi="宋体" w:hint="eastAsia"/>
          <w:sz w:val="24"/>
        </w:rPr>
        <w:t>（5）甲方可以授权甲方下属经营单位具体履行本协议，承担相应的义务，享有相应的权利，乙方可以授权乙方下属经营单位具体履行本协议，承担相应的义务，享有相应的权利，甲方或甲方下属经营单位与乙方或乙方下属经营单位之间可另行签订具体购销与劳务合同。具体购销与劳务合同应服从本协议。</w:t>
      </w:r>
    </w:p>
    <w:p w:rsidR="00993BBC" w:rsidRDefault="00993BBC" w:rsidP="0094415A">
      <w:pPr>
        <w:autoSpaceDE w:val="0"/>
        <w:autoSpaceDN w:val="0"/>
        <w:adjustRightInd w:val="0"/>
        <w:spacing w:line="360" w:lineRule="auto"/>
        <w:rPr>
          <w:rFonts w:ascii="宋体" w:hAnsi="宋体"/>
          <w:b/>
          <w:bCs/>
          <w:sz w:val="24"/>
        </w:rPr>
      </w:pPr>
      <w:r>
        <w:rPr>
          <w:rFonts w:ascii="宋体" w:hAnsi="宋体" w:hint="eastAsia"/>
          <w:b/>
          <w:bCs/>
          <w:sz w:val="24"/>
        </w:rPr>
        <w:t>四、</w:t>
      </w:r>
      <w:r w:rsidR="005F0F4F">
        <w:rPr>
          <w:rFonts w:ascii="宋体" w:hAnsi="宋体" w:hint="eastAsia"/>
          <w:b/>
          <w:bCs/>
          <w:sz w:val="24"/>
        </w:rPr>
        <w:t>关联</w:t>
      </w:r>
      <w:r>
        <w:rPr>
          <w:rFonts w:ascii="宋体" w:hAnsi="宋体" w:hint="eastAsia"/>
          <w:b/>
          <w:bCs/>
          <w:sz w:val="24"/>
        </w:rPr>
        <w:t>交易目的和对上市公司的影响</w:t>
      </w:r>
    </w:p>
    <w:p w:rsidR="00993BBC" w:rsidRDefault="00993BBC" w:rsidP="0094415A">
      <w:pPr>
        <w:spacing w:line="360" w:lineRule="auto"/>
        <w:ind w:firstLineChars="200" w:firstLine="480"/>
        <w:rPr>
          <w:rFonts w:ascii="宋体" w:hAnsi="宋体"/>
          <w:sz w:val="24"/>
        </w:rPr>
      </w:pPr>
      <w:r>
        <w:rPr>
          <w:rFonts w:ascii="宋体" w:hAnsi="宋体" w:hint="eastAsia"/>
          <w:sz w:val="24"/>
        </w:rPr>
        <w:t>上述关联交易有利于充分利用关联方的资源优势，实现合理的资源配置，提高公司运营效率，降低公司运营成本，存在交易的必要性。</w:t>
      </w:r>
    </w:p>
    <w:p w:rsidR="00993BBC" w:rsidRDefault="00993BBC" w:rsidP="0094415A">
      <w:pPr>
        <w:spacing w:line="360" w:lineRule="auto"/>
        <w:ind w:firstLineChars="200" w:firstLine="480"/>
        <w:rPr>
          <w:rFonts w:ascii="宋体" w:hAnsi="宋体"/>
          <w:sz w:val="24"/>
        </w:rPr>
      </w:pPr>
      <w:r>
        <w:rPr>
          <w:rFonts w:ascii="宋体" w:hAnsi="宋体" w:hint="eastAsia"/>
          <w:sz w:val="24"/>
        </w:rPr>
        <w:t>上述关联交易遵循公平、公正、公开的原则，不会损害本公司利益，对公司本期及未来财务状况、经营成果有积极影响。亦不会影响公司独立性，公司主要业务不会因此类交易而对关联人形成重大依赖。</w:t>
      </w:r>
    </w:p>
    <w:p w:rsidR="00993BBC" w:rsidRDefault="00993BBC" w:rsidP="0094415A">
      <w:pPr>
        <w:autoSpaceDE w:val="0"/>
        <w:autoSpaceDN w:val="0"/>
        <w:adjustRightInd w:val="0"/>
        <w:spacing w:line="360" w:lineRule="auto"/>
        <w:rPr>
          <w:rFonts w:ascii="宋体" w:hAnsi="宋体"/>
          <w:b/>
          <w:bCs/>
          <w:sz w:val="24"/>
        </w:rPr>
      </w:pPr>
      <w:r>
        <w:rPr>
          <w:rFonts w:ascii="宋体" w:hAnsi="宋体" w:hint="eastAsia"/>
          <w:b/>
          <w:bCs/>
          <w:sz w:val="24"/>
        </w:rPr>
        <w:t>五、</w:t>
      </w:r>
      <w:r w:rsidR="00941F00" w:rsidRPr="00941F00">
        <w:rPr>
          <w:rFonts w:ascii="宋体" w:hAnsi="宋体" w:hint="eastAsia"/>
          <w:b/>
          <w:bCs/>
          <w:sz w:val="24"/>
        </w:rPr>
        <w:t>独立董事意见</w:t>
      </w:r>
    </w:p>
    <w:p w:rsidR="00993BBC" w:rsidRDefault="00E05A9E" w:rsidP="0094415A">
      <w:pPr>
        <w:spacing w:line="360" w:lineRule="auto"/>
        <w:ind w:firstLineChars="200" w:firstLine="480"/>
        <w:rPr>
          <w:rFonts w:ascii="宋体" w:hAnsi="宋体"/>
          <w:sz w:val="24"/>
        </w:rPr>
      </w:pPr>
      <w:r>
        <w:rPr>
          <w:rFonts w:ascii="宋体" w:hAnsi="宋体" w:hint="eastAsia"/>
          <w:sz w:val="24"/>
        </w:rPr>
        <w:t>上述关联交易已经公司第八届董事会第</w:t>
      </w:r>
      <w:r w:rsidR="00652F82">
        <w:rPr>
          <w:rFonts w:ascii="宋体" w:hAnsi="宋体" w:hint="eastAsia"/>
          <w:sz w:val="24"/>
        </w:rPr>
        <w:t>十</w:t>
      </w:r>
      <w:r w:rsidR="00481BEB">
        <w:rPr>
          <w:rFonts w:ascii="宋体" w:hAnsi="宋体" w:hint="eastAsia"/>
          <w:sz w:val="24"/>
        </w:rPr>
        <w:t>三</w:t>
      </w:r>
      <w:r>
        <w:rPr>
          <w:rFonts w:ascii="宋体" w:hAnsi="宋体" w:hint="eastAsia"/>
          <w:sz w:val="24"/>
        </w:rPr>
        <w:t>次会议审议通过，公司独立董事出具了同意提交第八届董事会第</w:t>
      </w:r>
      <w:r w:rsidR="00652F82">
        <w:rPr>
          <w:rFonts w:ascii="宋体" w:hAnsi="宋体" w:hint="eastAsia"/>
          <w:sz w:val="24"/>
        </w:rPr>
        <w:t>十</w:t>
      </w:r>
      <w:r w:rsidR="00481BEB">
        <w:rPr>
          <w:rFonts w:ascii="宋体" w:hAnsi="宋体" w:hint="eastAsia"/>
          <w:sz w:val="24"/>
        </w:rPr>
        <w:t>三</w:t>
      </w:r>
      <w:r w:rsidR="00993BBC">
        <w:rPr>
          <w:rFonts w:ascii="宋体" w:hAnsi="宋体" w:hint="eastAsia"/>
          <w:sz w:val="24"/>
        </w:rPr>
        <w:t>次会议审议的事前认可函，并发表了独立董事意见书，一致认为：公司关联交易的审议和表决程序符合《深圳证券交易所股票上市规则》和</w:t>
      </w:r>
      <w:r w:rsidR="001B5CCE">
        <w:rPr>
          <w:rFonts w:ascii="宋体" w:hAnsi="宋体" w:hint="eastAsia"/>
          <w:sz w:val="24"/>
        </w:rPr>
        <w:t>《</w:t>
      </w:r>
      <w:r w:rsidR="00993BBC">
        <w:rPr>
          <w:rFonts w:ascii="宋体" w:hAnsi="宋体" w:hint="eastAsia"/>
          <w:sz w:val="24"/>
        </w:rPr>
        <w:t>公司章程</w:t>
      </w:r>
      <w:r w:rsidR="001B5CCE">
        <w:rPr>
          <w:rFonts w:ascii="宋体" w:hAnsi="宋体" w:hint="eastAsia"/>
          <w:sz w:val="24"/>
        </w:rPr>
        <w:t>》</w:t>
      </w:r>
      <w:r w:rsidR="001A24B2">
        <w:rPr>
          <w:rFonts w:ascii="宋体" w:hAnsi="宋体" w:hint="eastAsia"/>
          <w:sz w:val="24"/>
        </w:rPr>
        <w:t>的规定，关联董事均回避</w:t>
      </w:r>
      <w:r w:rsidR="00993BBC">
        <w:rPr>
          <w:rFonts w:ascii="宋体" w:hAnsi="宋体" w:hint="eastAsia"/>
          <w:sz w:val="24"/>
        </w:rPr>
        <w:t>表决；上述交易公平、公正、公开，有利于公司相关主营业务的发展，交易价格均参照市场价格确定，没有对上市公司独立性构成影响，没有发现有侵害中小股东利益的行为和情况，符合中国证监会和深交所的有关规定。</w:t>
      </w:r>
    </w:p>
    <w:p w:rsidR="00993BBC" w:rsidRDefault="00993BBC" w:rsidP="0094415A">
      <w:pPr>
        <w:autoSpaceDE w:val="0"/>
        <w:autoSpaceDN w:val="0"/>
        <w:adjustRightInd w:val="0"/>
        <w:spacing w:line="360" w:lineRule="auto"/>
        <w:rPr>
          <w:rFonts w:ascii="宋体" w:hAnsi="宋体"/>
          <w:b/>
          <w:bCs/>
          <w:sz w:val="24"/>
        </w:rPr>
      </w:pPr>
      <w:r>
        <w:rPr>
          <w:rFonts w:ascii="宋体" w:hAnsi="宋体" w:hint="eastAsia"/>
          <w:b/>
          <w:bCs/>
          <w:sz w:val="24"/>
        </w:rPr>
        <w:t>六、备查文件目录</w:t>
      </w:r>
    </w:p>
    <w:p w:rsidR="00993BBC" w:rsidRDefault="00E05A9E" w:rsidP="0094415A">
      <w:pPr>
        <w:numPr>
          <w:ilvl w:val="0"/>
          <w:numId w:val="1"/>
        </w:numPr>
        <w:tabs>
          <w:tab w:val="clear" w:pos="840"/>
          <w:tab w:val="num" w:pos="945"/>
        </w:tabs>
        <w:spacing w:line="360" w:lineRule="auto"/>
        <w:ind w:left="839" w:hanging="357"/>
        <w:rPr>
          <w:rFonts w:ascii="宋体" w:hAnsi="宋体"/>
          <w:sz w:val="24"/>
        </w:rPr>
      </w:pPr>
      <w:r>
        <w:rPr>
          <w:rFonts w:ascii="宋体" w:hAnsi="宋体" w:hint="eastAsia"/>
          <w:sz w:val="24"/>
        </w:rPr>
        <w:t>第八届董事会第</w:t>
      </w:r>
      <w:r w:rsidR="00652F82">
        <w:rPr>
          <w:rFonts w:ascii="宋体" w:hAnsi="宋体" w:hint="eastAsia"/>
          <w:sz w:val="24"/>
        </w:rPr>
        <w:t>十</w:t>
      </w:r>
      <w:r w:rsidR="00481BEB">
        <w:rPr>
          <w:rFonts w:ascii="宋体" w:hAnsi="宋体" w:hint="eastAsia"/>
          <w:sz w:val="24"/>
        </w:rPr>
        <w:t>三</w:t>
      </w:r>
      <w:r w:rsidR="00993BBC">
        <w:rPr>
          <w:rFonts w:ascii="宋体" w:hAnsi="宋体" w:hint="eastAsia"/>
          <w:sz w:val="24"/>
        </w:rPr>
        <w:t>次会议决议；</w:t>
      </w:r>
    </w:p>
    <w:p w:rsidR="00993BBC" w:rsidRDefault="00993BBC" w:rsidP="0094415A">
      <w:pPr>
        <w:numPr>
          <w:ilvl w:val="0"/>
          <w:numId w:val="1"/>
        </w:numPr>
        <w:tabs>
          <w:tab w:val="clear" w:pos="840"/>
          <w:tab w:val="num" w:pos="945"/>
        </w:tabs>
        <w:spacing w:line="360" w:lineRule="auto"/>
        <w:ind w:left="839" w:hanging="357"/>
        <w:rPr>
          <w:rFonts w:ascii="宋体" w:hAnsi="宋体"/>
          <w:sz w:val="24"/>
        </w:rPr>
      </w:pPr>
      <w:r>
        <w:rPr>
          <w:rFonts w:ascii="宋体" w:hAnsi="宋体" w:hint="eastAsia"/>
          <w:sz w:val="24"/>
        </w:rPr>
        <w:t>独立董事事前认可函；</w:t>
      </w:r>
    </w:p>
    <w:p w:rsidR="00993BBC" w:rsidRDefault="00993BBC" w:rsidP="0094415A">
      <w:pPr>
        <w:numPr>
          <w:ilvl w:val="0"/>
          <w:numId w:val="1"/>
        </w:numPr>
        <w:tabs>
          <w:tab w:val="clear" w:pos="840"/>
          <w:tab w:val="num" w:pos="945"/>
        </w:tabs>
        <w:spacing w:line="360" w:lineRule="auto"/>
        <w:ind w:left="839" w:hanging="357"/>
        <w:rPr>
          <w:rFonts w:ascii="宋体" w:hAnsi="宋体"/>
          <w:sz w:val="24"/>
        </w:rPr>
      </w:pPr>
      <w:r>
        <w:rPr>
          <w:rFonts w:ascii="宋体" w:hAnsi="宋体" w:hint="eastAsia"/>
          <w:sz w:val="24"/>
        </w:rPr>
        <w:t>独立董事独立意见书；</w:t>
      </w:r>
    </w:p>
    <w:p w:rsidR="00993BBC" w:rsidRDefault="00993BBC" w:rsidP="0094415A">
      <w:pPr>
        <w:numPr>
          <w:ilvl w:val="0"/>
          <w:numId w:val="1"/>
        </w:numPr>
        <w:tabs>
          <w:tab w:val="clear" w:pos="840"/>
          <w:tab w:val="num" w:pos="945"/>
        </w:tabs>
        <w:spacing w:line="360" w:lineRule="auto"/>
        <w:ind w:left="839" w:hanging="357"/>
        <w:rPr>
          <w:rFonts w:ascii="宋体" w:hAnsi="宋体"/>
          <w:sz w:val="24"/>
        </w:rPr>
      </w:pPr>
      <w:r>
        <w:rPr>
          <w:rFonts w:ascii="宋体" w:hAnsi="宋体" w:hint="eastAsia"/>
          <w:sz w:val="24"/>
        </w:rPr>
        <w:t>本公司与关联方的日常关联交易协议。</w:t>
      </w:r>
    </w:p>
    <w:p w:rsidR="00311A3B" w:rsidRDefault="00993BBC" w:rsidP="004721CD">
      <w:pPr>
        <w:spacing w:before="120" w:line="360" w:lineRule="auto"/>
        <w:ind w:left="482"/>
        <w:rPr>
          <w:rFonts w:ascii="宋体" w:hAnsi="宋体"/>
          <w:sz w:val="24"/>
        </w:rPr>
      </w:pPr>
      <w:r>
        <w:rPr>
          <w:rFonts w:ascii="宋体" w:hAnsi="宋体" w:hint="eastAsia"/>
          <w:sz w:val="24"/>
        </w:rPr>
        <w:t>特此公告。</w:t>
      </w:r>
    </w:p>
    <w:p w:rsidR="00865D9D" w:rsidRDefault="00865D9D" w:rsidP="00564C06">
      <w:pPr>
        <w:spacing w:line="360" w:lineRule="auto"/>
        <w:ind w:left="482"/>
        <w:rPr>
          <w:rFonts w:ascii="宋体" w:hAnsi="宋体"/>
          <w:sz w:val="24"/>
        </w:rPr>
      </w:pPr>
    </w:p>
    <w:p w:rsidR="005F0F4F" w:rsidRDefault="004721CD" w:rsidP="004721CD">
      <w:pPr>
        <w:spacing w:line="360" w:lineRule="auto"/>
        <w:rPr>
          <w:rFonts w:ascii="宋体" w:hAnsi="宋体"/>
          <w:sz w:val="24"/>
        </w:rPr>
      </w:pPr>
      <w:r>
        <w:rPr>
          <w:rFonts w:ascii="宋体" w:hAnsi="宋体" w:hint="eastAsia"/>
          <w:sz w:val="24"/>
        </w:rPr>
        <w:t xml:space="preserve">    </w:t>
      </w:r>
    </w:p>
    <w:p w:rsidR="00993BBC" w:rsidRPr="00582BA5" w:rsidRDefault="00993BBC" w:rsidP="00564C06">
      <w:pPr>
        <w:spacing w:line="360" w:lineRule="auto"/>
        <w:ind w:firstLine="482"/>
        <w:jc w:val="right"/>
        <w:rPr>
          <w:rFonts w:ascii="宋体" w:hAnsi="宋体"/>
          <w:bCs/>
          <w:sz w:val="24"/>
        </w:rPr>
      </w:pPr>
      <w:r w:rsidRPr="00582BA5">
        <w:rPr>
          <w:rFonts w:ascii="宋体" w:hAnsi="宋体" w:hint="eastAsia"/>
          <w:bCs/>
          <w:sz w:val="24"/>
        </w:rPr>
        <w:lastRenderedPageBreak/>
        <w:t>无锡小天鹅股份有限公司</w:t>
      </w:r>
    </w:p>
    <w:p w:rsidR="00993BBC" w:rsidRPr="00582BA5" w:rsidRDefault="00993BBC" w:rsidP="00564C06">
      <w:pPr>
        <w:spacing w:line="360" w:lineRule="auto"/>
        <w:ind w:firstLine="482"/>
        <w:jc w:val="right"/>
        <w:rPr>
          <w:rFonts w:ascii="宋体" w:hAnsi="宋体"/>
          <w:bCs/>
          <w:sz w:val="24"/>
        </w:rPr>
      </w:pPr>
      <w:r w:rsidRPr="00582BA5">
        <w:rPr>
          <w:rFonts w:ascii="宋体" w:hAnsi="宋体" w:hint="eastAsia"/>
          <w:bCs/>
          <w:sz w:val="24"/>
        </w:rPr>
        <w:t>董事会</w:t>
      </w:r>
    </w:p>
    <w:p w:rsidR="00937B8D" w:rsidRPr="00993BBC" w:rsidRDefault="00993BBC" w:rsidP="00564C06">
      <w:pPr>
        <w:spacing w:line="360" w:lineRule="auto"/>
        <w:ind w:firstLine="482"/>
        <w:jc w:val="right"/>
      </w:pPr>
      <w:r w:rsidRPr="00582BA5">
        <w:rPr>
          <w:rFonts w:ascii="宋体" w:hAnsi="宋体"/>
          <w:bCs/>
          <w:sz w:val="24"/>
        </w:rPr>
        <w:t xml:space="preserve"> </w:t>
      </w:r>
      <w:r w:rsidRPr="00582BA5">
        <w:rPr>
          <w:rFonts w:ascii="宋体" w:hAnsi="宋体" w:hint="eastAsia"/>
          <w:bCs/>
          <w:sz w:val="24"/>
        </w:rPr>
        <w:t>二</w:t>
      </w:r>
      <w:r>
        <w:rPr>
          <w:rFonts w:ascii="宋体" w:hAnsi="宋体" w:hint="eastAsia"/>
          <w:bCs/>
          <w:sz w:val="24"/>
        </w:rPr>
        <w:t>零</w:t>
      </w:r>
      <w:r w:rsidRPr="00582BA5">
        <w:rPr>
          <w:rFonts w:ascii="宋体" w:hAnsi="宋体" w:hint="eastAsia"/>
          <w:bCs/>
          <w:sz w:val="24"/>
        </w:rPr>
        <w:t>一</w:t>
      </w:r>
      <w:r w:rsidR="00652F82">
        <w:rPr>
          <w:rFonts w:ascii="宋体" w:hAnsi="宋体" w:hint="eastAsia"/>
          <w:bCs/>
          <w:sz w:val="24"/>
        </w:rPr>
        <w:t>七</w:t>
      </w:r>
      <w:r w:rsidRPr="00582BA5">
        <w:rPr>
          <w:rFonts w:ascii="宋体" w:hAnsi="宋体" w:hint="eastAsia"/>
          <w:bCs/>
          <w:sz w:val="24"/>
        </w:rPr>
        <w:t>年</w:t>
      </w:r>
      <w:r>
        <w:rPr>
          <w:rFonts w:ascii="宋体" w:hAnsi="宋体" w:hint="eastAsia"/>
          <w:bCs/>
          <w:sz w:val="24"/>
        </w:rPr>
        <w:t>八月</w:t>
      </w:r>
      <w:r w:rsidR="00DE0DDC">
        <w:rPr>
          <w:rFonts w:ascii="宋体" w:hAnsi="宋体" w:hint="eastAsia"/>
          <w:bCs/>
          <w:sz w:val="24"/>
        </w:rPr>
        <w:t>二十</w:t>
      </w:r>
      <w:r w:rsidR="009A4238">
        <w:rPr>
          <w:rFonts w:ascii="宋体" w:hAnsi="宋体" w:hint="eastAsia"/>
          <w:bCs/>
          <w:sz w:val="24"/>
        </w:rPr>
        <w:t>五</w:t>
      </w:r>
      <w:r w:rsidRPr="00582BA5">
        <w:rPr>
          <w:rFonts w:ascii="宋体" w:hAnsi="宋体" w:hint="eastAsia"/>
          <w:bCs/>
          <w:sz w:val="24"/>
        </w:rPr>
        <w:t>日</w:t>
      </w:r>
    </w:p>
    <w:sectPr w:rsidR="00937B8D" w:rsidRPr="00993B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67" w:rsidRDefault="009A6767" w:rsidP="002E2642">
      <w:r>
        <w:separator/>
      </w:r>
    </w:p>
  </w:endnote>
  <w:endnote w:type="continuationSeparator" w:id="0">
    <w:p w:rsidR="009A6767" w:rsidRDefault="009A6767" w:rsidP="002E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67" w:rsidRDefault="009A6767" w:rsidP="002E2642">
      <w:r>
        <w:separator/>
      </w:r>
    </w:p>
  </w:footnote>
  <w:footnote w:type="continuationSeparator" w:id="0">
    <w:p w:rsidR="009A6767" w:rsidRDefault="009A6767" w:rsidP="002E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4AE6"/>
    <w:multiLevelType w:val="hybridMultilevel"/>
    <w:tmpl w:val="2A3CCBD6"/>
    <w:lvl w:ilvl="0" w:tplc="94505562">
      <w:start w:val="1"/>
      <w:numFmt w:val="decimal"/>
      <w:lvlText w:val="%1、"/>
      <w:lvlJc w:val="left"/>
      <w:pPr>
        <w:tabs>
          <w:tab w:val="num" w:pos="840"/>
        </w:tabs>
        <w:ind w:left="840" w:hanging="36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7B"/>
    <w:rsid w:val="00000944"/>
    <w:rsid w:val="00000D20"/>
    <w:rsid w:val="00010704"/>
    <w:rsid w:val="00040840"/>
    <w:rsid w:val="000533CA"/>
    <w:rsid w:val="00062696"/>
    <w:rsid w:val="000A56AB"/>
    <w:rsid w:val="000B1A86"/>
    <w:rsid w:val="000C2123"/>
    <w:rsid w:val="000D7282"/>
    <w:rsid w:val="000E2B0B"/>
    <w:rsid w:val="000F4F16"/>
    <w:rsid w:val="00106D3A"/>
    <w:rsid w:val="00111EE3"/>
    <w:rsid w:val="00115F9C"/>
    <w:rsid w:val="00131B1B"/>
    <w:rsid w:val="00142AD9"/>
    <w:rsid w:val="0014373B"/>
    <w:rsid w:val="00144C78"/>
    <w:rsid w:val="0015377C"/>
    <w:rsid w:val="001612E2"/>
    <w:rsid w:val="001819A7"/>
    <w:rsid w:val="001A24B2"/>
    <w:rsid w:val="001A32D7"/>
    <w:rsid w:val="001B5CCE"/>
    <w:rsid w:val="001C0E19"/>
    <w:rsid w:val="001F44A5"/>
    <w:rsid w:val="002005FC"/>
    <w:rsid w:val="00201F99"/>
    <w:rsid w:val="00203F8F"/>
    <w:rsid w:val="002200E9"/>
    <w:rsid w:val="002208A2"/>
    <w:rsid w:val="002242D8"/>
    <w:rsid w:val="0023057A"/>
    <w:rsid w:val="002335C6"/>
    <w:rsid w:val="00235C50"/>
    <w:rsid w:val="002374B6"/>
    <w:rsid w:val="00237AA5"/>
    <w:rsid w:val="00241A6D"/>
    <w:rsid w:val="00245C31"/>
    <w:rsid w:val="00247000"/>
    <w:rsid w:val="00277D56"/>
    <w:rsid w:val="002B0FEC"/>
    <w:rsid w:val="002B3178"/>
    <w:rsid w:val="002C0612"/>
    <w:rsid w:val="002C1C09"/>
    <w:rsid w:val="002E2642"/>
    <w:rsid w:val="00311A3B"/>
    <w:rsid w:val="003415A7"/>
    <w:rsid w:val="00347EA9"/>
    <w:rsid w:val="003514E8"/>
    <w:rsid w:val="003574DD"/>
    <w:rsid w:val="003709B8"/>
    <w:rsid w:val="00394CF3"/>
    <w:rsid w:val="00394F41"/>
    <w:rsid w:val="003C0581"/>
    <w:rsid w:val="003C2AD2"/>
    <w:rsid w:val="003C621F"/>
    <w:rsid w:val="003C761A"/>
    <w:rsid w:val="003D5310"/>
    <w:rsid w:val="003E3F9A"/>
    <w:rsid w:val="003E561A"/>
    <w:rsid w:val="00412FDA"/>
    <w:rsid w:val="00413E71"/>
    <w:rsid w:val="004374EE"/>
    <w:rsid w:val="004444EF"/>
    <w:rsid w:val="00444A11"/>
    <w:rsid w:val="00450337"/>
    <w:rsid w:val="00457014"/>
    <w:rsid w:val="0046118D"/>
    <w:rsid w:val="004714F5"/>
    <w:rsid w:val="004721CD"/>
    <w:rsid w:val="004735F6"/>
    <w:rsid w:val="00481BEB"/>
    <w:rsid w:val="004875CA"/>
    <w:rsid w:val="00492406"/>
    <w:rsid w:val="004C2EEF"/>
    <w:rsid w:val="004C47B5"/>
    <w:rsid w:val="004D64F0"/>
    <w:rsid w:val="004E1933"/>
    <w:rsid w:val="004E4D14"/>
    <w:rsid w:val="005008C6"/>
    <w:rsid w:val="00525D8B"/>
    <w:rsid w:val="00533B25"/>
    <w:rsid w:val="005354AF"/>
    <w:rsid w:val="00543B6C"/>
    <w:rsid w:val="00550B51"/>
    <w:rsid w:val="00552231"/>
    <w:rsid w:val="0056367A"/>
    <w:rsid w:val="00564C06"/>
    <w:rsid w:val="0058446C"/>
    <w:rsid w:val="005910A2"/>
    <w:rsid w:val="00597317"/>
    <w:rsid w:val="00597340"/>
    <w:rsid w:val="005B0AF2"/>
    <w:rsid w:val="005B11E8"/>
    <w:rsid w:val="005C06C8"/>
    <w:rsid w:val="005D177D"/>
    <w:rsid w:val="005D3F88"/>
    <w:rsid w:val="005D6707"/>
    <w:rsid w:val="005F0F4F"/>
    <w:rsid w:val="005F52CA"/>
    <w:rsid w:val="00607350"/>
    <w:rsid w:val="00613A03"/>
    <w:rsid w:val="00652F82"/>
    <w:rsid w:val="00666751"/>
    <w:rsid w:val="006731AF"/>
    <w:rsid w:val="006945B8"/>
    <w:rsid w:val="00695147"/>
    <w:rsid w:val="006B2A1B"/>
    <w:rsid w:val="006B2AB9"/>
    <w:rsid w:val="006E207F"/>
    <w:rsid w:val="006E4069"/>
    <w:rsid w:val="0070387D"/>
    <w:rsid w:val="007040C0"/>
    <w:rsid w:val="0070490A"/>
    <w:rsid w:val="007157BE"/>
    <w:rsid w:val="007173D1"/>
    <w:rsid w:val="00721348"/>
    <w:rsid w:val="007220F6"/>
    <w:rsid w:val="0072404B"/>
    <w:rsid w:val="00725CBE"/>
    <w:rsid w:val="00732D8D"/>
    <w:rsid w:val="0074114D"/>
    <w:rsid w:val="0076217B"/>
    <w:rsid w:val="007730DD"/>
    <w:rsid w:val="007818A5"/>
    <w:rsid w:val="00795CAC"/>
    <w:rsid w:val="007C0F14"/>
    <w:rsid w:val="007D45B3"/>
    <w:rsid w:val="007E0C3D"/>
    <w:rsid w:val="007F52C0"/>
    <w:rsid w:val="00810843"/>
    <w:rsid w:val="00820FB9"/>
    <w:rsid w:val="0082719F"/>
    <w:rsid w:val="00846502"/>
    <w:rsid w:val="00865D9D"/>
    <w:rsid w:val="0086623D"/>
    <w:rsid w:val="00872781"/>
    <w:rsid w:val="00873ED8"/>
    <w:rsid w:val="00874CC6"/>
    <w:rsid w:val="00875E3F"/>
    <w:rsid w:val="00883CA5"/>
    <w:rsid w:val="00895440"/>
    <w:rsid w:val="008A10C0"/>
    <w:rsid w:val="008B363C"/>
    <w:rsid w:val="008C2F1A"/>
    <w:rsid w:val="008C59EB"/>
    <w:rsid w:val="008C7894"/>
    <w:rsid w:val="008F356A"/>
    <w:rsid w:val="00902FEC"/>
    <w:rsid w:val="00906F64"/>
    <w:rsid w:val="00920510"/>
    <w:rsid w:val="00937B8D"/>
    <w:rsid w:val="00941F00"/>
    <w:rsid w:val="0094415A"/>
    <w:rsid w:val="0095038B"/>
    <w:rsid w:val="00972F5A"/>
    <w:rsid w:val="00990B97"/>
    <w:rsid w:val="00992B8D"/>
    <w:rsid w:val="00993BBC"/>
    <w:rsid w:val="009A4238"/>
    <w:rsid w:val="009A5651"/>
    <w:rsid w:val="009A6767"/>
    <w:rsid w:val="009B7BEC"/>
    <w:rsid w:val="009C6716"/>
    <w:rsid w:val="00A358F5"/>
    <w:rsid w:val="00A420E2"/>
    <w:rsid w:val="00A8166A"/>
    <w:rsid w:val="00AA2118"/>
    <w:rsid w:val="00AF7403"/>
    <w:rsid w:val="00AF7630"/>
    <w:rsid w:val="00B15529"/>
    <w:rsid w:val="00B4140D"/>
    <w:rsid w:val="00B525DC"/>
    <w:rsid w:val="00B650FD"/>
    <w:rsid w:val="00B655E3"/>
    <w:rsid w:val="00B829A0"/>
    <w:rsid w:val="00B9179B"/>
    <w:rsid w:val="00B93B8D"/>
    <w:rsid w:val="00BB2F9D"/>
    <w:rsid w:val="00BD4BBA"/>
    <w:rsid w:val="00C25E88"/>
    <w:rsid w:val="00C43832"/>
    <w:rsid w:val="00C80BA2"/>
    <w:rsid w:val="00C90876"/>
    <w:rsid w:val="00CB3C61"/>
    <w:rsid w:val="00CC7D46"/>
    <w:rsid w:val="00CD50A8"/>
    <w:rsid w:val="00CD5907"/>
    <w:rsid w:val="00CE12E6"/>
    <w:rsid w:val="00CE28A1"/>
    <w:rsid w:val="00CF716F"/>
    <w:rsid w:val="00D122DC"/>
    <w:rsid w:val="00D23577"/>
    <w:rsid w:val="00D25EE4"/>
    <w:rsid w:val="00D264BE"/>
    <w:rsid w:val="00D2771F"/>
    <w:rsid w:val="00D51D9D"/>
    <w:rsid w:val="00D57230"/>
    <w:rsid w:val="00D65042"/>
    <w:rsid w:val="00D75799"/>
    <w:rsid w:val="00DA2868"/>
    <w:rsid w:val="00DA5036"/>
    <w:rsid w:val="00DA5879"/>
    <w:rsid w:val="00DD3DE8"/>
    <w:rsid w:val="00DD454F"/>
    <w:rsid w:val="00DE0DDC"/>
    <w:rsid w:val="00DE2787"/>
    <w:rsid w:val="00DE5192"/>
    <w:rsid w:val="00DF03FD"/>
    <w:rsid w:val="00DF61FB"/>
    <w:rsid w:val="00DF67D1"/>
    <w:rsid w:val="00E04F72"/>
    <w:rsid w:val="00E055B1"/>
    <w:rsid w:val="00E05A9E"/>
    <w:rsid w:val="00E0603B"/>
    <w:rsid w:val="00E25B6C"/>
    <w:rsid w:val="00E27759"/>
    <w:rsid w:val="00E40D49"/>
    <w:rsid w:val="00E5565D"/>
    <w:rsid w:val="00E6790D"/>
    <w:rsid w:val="00E742D8"/>
    <w:rsid w:val="00E75E04"/>
    <w:rsid w:val="00E76AA9"/>
    <w:rsid w:val="00EA05A0"/>
    <w:rsid w:val="00EF0310"/>
    <w:rsid w:val="00F0448C"/>
    <w:rsid w:val="00F17AD4"/>
    <w:rsid w:val="00F205B8"/>
    <w:rsid w:val="00F22B8C"/>
    <w:rsid w:val="00F23AA9"/>
    <w:rsid w:val="00F551DC"/>
    <w:rsid w:val="00F55507"/>
    <w:rsid w:val="00F73C3B"/>
    <w:rsid w:val="00F74D7F"/>
    <w:rsid w:val="00F82704"/>
    <w:rsid w:val="00F857B5"/>
    <w:rsid w:val="00F91940"/>
    <w:rsid w:val="00F95A9C"/>
    <w:rsid w:val="00FA0006"/>
    <w:rsid w:val="00FB2CA3"/>
    <w:rsid w:val="00FC36CD"/>
    <w:rsid w:val="00FC4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993BBC"/>
    <w:pPr>
      <w:spacing w:after="120"/>
    </w:pPr>
  </w:style>
  <w:style w:type="character" w:customStyle="1" w:styleId="Char">
    <w:name w:val="正文文本 Char"/>
    <w:basedOn w:val="a0"/>
    <w:link w:val="a3"/>
    <w:semiHidden/>
    <w:rsid w:val="00993BBC"/>
    <w:rPr>
      <w:rFonts w:ascii="Times New Roman" w:eastAsia="宋体" w:hAnsi="Times New Roman" w:cs="Times New Roman"/>
      <w:szCs w:val="24"/>
    </w:rPr>
  </w:style>
  <w:style w:type="character" w:customStyle="1" w:styleId="da">
    <w:name w:val="da"/>
    <w:basedOn w:val="a0"/>
    <w:rsid w:val="00993BBC"/>
  </w:style>
  <w:style w:type="paragraph" w:customStyle="1" w:styleId="Char0">
    <w:name w:val="Char"/>
    <w:basedOn w:val="a"/>
    <w:rsid w:val="00106D3A"/>
    <w:rPr>
      <w:rFonts w:ascii="Tahoma" w:hAnsi="Tahoma"/>
      <w:sz w:val="24"/>
      <w:szCs w:val="20"/>
    </w:rPr>
  </w:style>
  <w:style w:type="paragraph" w:customStyle="1" w:styleId="Default">
    <w:name w:val="Default"/>
    <w:rsid w:val="00106D3A"/>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4">
    <w:name w:val="header"/>
    <w:basedOn w:val="a"/>
    <w:link w:val="Char1"/>
    <w:uiPriority w:val="99"/>
    <w:unhideWhenUsed/>
    <w:rsid w:val="002E26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rsid w:val="002E2642"/>
    <w:rPr>
      <w:rFonts w:ascii="Times New Roman" w:eastAsia="宋体" w:hAnsi="Times New Roman" w:cs="Times New Roman"/>
      <w:sz w:val="18"/>
      <w:szCs w:val="18"/>
    </w:rPr>
  </w:style>
  <w:style w:type="paragraph" w:styleId="a5">
    <w:name w:val="footer"/>
    <w:basedOn w:val="a"/>
    <w:link w:val="Char2"/>
    <w:uiPriority w:val="99"/>
    <w:unhideWhenUsed/>
    <w:rsid w:val="002E2642"/>
    <w:pPr>
      <w:tabs>
        <w:tab w:val="center" w:pos="4153"/>
        <w:tab w:val="right" w:pos="8306"/>
      </w:tabs>
      <w:snapToGrid w:val="0"/>
      <w:jc w:val="left"/>
    </w:pPr>
    <w:rPr>
      <w:sz w:val="18"/>
      <w:szCs w:val="18"/>
    </w:rPr>
  </w:style>
  <w:style w:type="character" w:customStyle="1" w:styleId="Char2">
    <w:name w:val="页脚 Char"/>
    <w:basedOn w:val="a0"/>
    <w:link w:val="a5"/>
    <w:uiPriority w:val="99"/>
    <w:rsid w:val="002E2642"/>
    <w:rPr>
      <w:rFonts w:ascii="Times New Roman" w:eastAsia="宋体" w:hAnsi="Times New Roman" w:cs="Times New Roman"/>
      <w:sz w:val="18"/>
      <w:szCs w:val="18"/>
    </w:rPr>
  </w:style>
  <w:style w:type="paragraph" w:styleId="2">
    <w:name w:val="Body Text Indent 2"/>
    <w:basedOn w:val="a"/>
    <w:link w:val="2Char"/>
    <w:uiPriority w:val="99"/>
    <w:semiHidden/>
    <w:unhideWhenUsed/>
    <w:rsid w:val="00652F82"/>
    <w:pPr>
      <w:spacing w:after="120" w:line="480" w:lineRule="auto"/>
      <w:ind w:leftChars="200" w:left="420"/>
    </w:pPr>
  </w:style>
  <w:style w:type="character" w:customStyle="1" w:styleId="2Char">
    <w:name w:val="正文文本缩进 2 Char"/>
    <w:basedOn w:val="a0"/>
    <w:link w:val="2"/>
    <w:uiPriority w:val="99"/>
    <w:semiHidden/>
    <w:rsid w:val="00652F8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993BBC"/>
    <w:pPr>
      <w:spacing w:after="120"/>
    </w:pPr>
  </w:style>
  <w:style w:type="character" w:customStyle="1" w:styleId="Char">
    <w:name w:val="正文文本 Char"/>
    <w:basedOn w:val="a0"/>
    <w:link w:val="a3"/>
    <w:semiHidden/>
    <w:rsid w:val="00993BBC"/>
    <w:rPr>
      <w:rFonts w:ascii="Times New Roman" w:eastAsia="宋体" w:hAnsi="Times New Roman" w:cs="Times New Roman"/>
      <w:szCs w:val="24"/>
    </w:rPr>
  </w:style>
  <w:style w:type="character" w:customStyle="1" w:styleId="da">
    <w:name w:val="da"/>
    <w:basedOn w:val="a0"/>
    <w:rsid w:val="00993BBC"/>
  </w:style>
  <w:style w:type="paragraph" w:customStyle="1" w:styleId="Char0">
    <w:name w:val="Char"/>
    <w:basedOn w:val="a"/>
    <w:rsid w:val="00106D3A"/>
    <w:rPr>
      <w:rFonts w:ascii="Tahoma" w:hAnsi="Tahoma"/>
      <w:sz w:val="24"/>
      <w:szCs w:val="20"/>
    </w:rPr>
  </w:style>
  <w:style w:type="paragraph" w:customStyle="1" w:styleId="Default">
    <w:name w:val="Default"/>
    <w:rsid w:val="00106D3A"/>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4">
    <w:name w:val="header"/>
    <w:basedOn w:val="a"/>
    <w:link w:val="Char1"/>
    <w:uiPriority w:val="99"/>
    <w:unhideWhenUsed/>
    <w:rsid w:val="002E26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rsid w:val="002E2642"/>
    <w:rPr>
      <w:rFonts w:ascii="Times New Roman" w:eastAsia="宋体" w:hAnsi="Times New Roman" w:cs="Times New Roman"/>
      <w:sz w:val="18"/>
      <w:szCs w:val="18"/>
    </w:rPr>
  </w:style>
  <w:style w:type="paragraph" w:styleId="a5">
    <w:name w:val="footer"/>
    <w:basedOn w:val="a"/>
    <w:link w:val="Char2"/>
    <w:uiPriority w:val="99"/>
    <w:unhideWhenUsed/>
    <w:rsid w:val="002E2642"/>
    <w:pPr>
      <w:tabs>
        <w:tab w:val="center" w:pos="4153"/>
        <w:tab w:val="right" w:pos="8306"/>
      </w:tabs>
      <w:snapToGrid w:val="0"/>
      <w:jc w:val="left"/>
    </w:pPr>
    <w:rPr>
      <w:sz w:val="18"/>
      <w:szCs w:val="18"/>
    </w:rPr>
  </w:style>
  <w:style w:type="character" w:customStyle="1" w:styleId="Char2">
    <w:name w:val="页脚 Char"/>
    <w:basedOn w:val="a0"/>
    <w:link w:val="a5"/>
    <w:uiPriority w:val="99"/>
    <w:rsid w:val="002E2642"/>
    <w:rPr>
      <w:rFonts w:ascii="Times New Roman" w:eastAsia="宋体" w:hAnsi="Times New Roman" w:cs="Times New Roman"/>
      <w:sz w:val="18"/>
      <w:szCs w:val="18"/>
    </w:rPr>
  </w:style>
  <w:style w:type="paragraph" w:styleId="2">
    <w:name w:val="Body Text Indent 2"/>
    <w:basedOn w:val="a"/>
    <w:link w:val="2Char"/>
    <w:uiPriority w:val="99"/>
    <w:semiHidden/>
    <w:unhideWhenUsed/>
    <w:rsid w:val="00652F82"/>
    <w:pPr>
      <w:spacing w:after="120" w:line="480" w:lineRule="auto"/>
      <w:ind w:leftChars="200" w:left="420"/>
    </w:pPr>
  </w:style>
  <w:style w:type="character" w:customStyle="1" w:styleId="2Char">
    <w:name w:val="正文文本缩进 2 Char"/>
    <w:basedOn w:val="a0"/>
    <w:link w:val="2"/>
    <w:uiPriority w:val="99"/>
    <w:semiHidden/>
    <w:rsid w:val="00652F8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905">
      <w:bodyDiv w:val="1"/>
      <w:marLeft w:val="0"/>
      <w:marRight w:val="0"/>
      <w:marTop w:val="0"/>
      <w:marBottom w:val="0"/>
      <w:divBdr>
        <w:top w:val="none" w:sz="0" w:space="0" w:color="auto"/>
        <w:left w:val="none" w:sz="0" w:space="0" w:color="auto"/>
        <w:bottom w:val="none" w:sz="0" w:space="0" w:color="auto"/>
        <w:right w:val="none" w:sz="0" w:space="0" w:color="auto"/>
      </w:divBdr>
    </w:div>
    <w:div w:id="69929179">
      <w:bodyDiv w:val="1"/>
      <w:marLeft w:val="0"/>
      <w:marRight w:val="0"/>
      <w:marTop w:val="0"/>
      <w:marBottom w:val="0"/>
      <w:divBdr>
        <w:top w:val="none" w:sz="0" w:space="0" w:color="auto"/>
        <w:left w:val="none" w:sz="0" w:space="0" w:color="auto"/>
        <w:bottom w:val="none" w:sz="0" w:space="0" w:color="auto"/>
        <w:right w:val="none" w:sz="0" w:space="0" w:color="auto"/>
      </w:divBdr>
      <w:divsChild>
        <w:div w:id="602955819">
          <w:marLeft w:val="0"/>
          <w:marRight w:val="0"/>
          <w:marTop w:val="0"/>
          <w:marBottom w:val="0"/>
          <w:divBdr>
            <w:top w:val="none" w:sz="0" w:space="0" w:color="auto"/>
            <w:left w:val="none" w:sz="0" w:space="0" w:color="auto"/>
            <w:bottom w:val="none" w:sz="0" w:space="0" w:color="auto"/>
            <w:right w:val="none" w:sz="0" w:space="0" w:color="auto"/>
          </w:divBdr>
          <w:divsChild>
            <w:div w:id="354579231">
              <w:marLeft w:val="0"/>
              <w:marRight w:val="0"/>
              <w:marTop w:val="0"/>
              <w:marBottom w:val="0"/>
              <w:divBdr>
                <w:top w:val="none" w:sz="0" w:space="0" w:color="auto"/>
                <w:left w:val="none" w:sz="0" w:space="0" w:color="auto"/>
                <w:bottom w:val="none" w:sz="0" w:space="0" w:color="auto"/>
                <w:right w:val="none" w:sz="0" w:space="0" w:color="auto"/>
              </w:divBdr>
              <w:divsChild>
                <w:div w:id="1210654052">
                  <w:marLeft w:val="0"/>
                  <w:marRight w:val="0"/>
                  <w:marTop w:val="0"/>
                  <w:marBottom w:val="0"/>
                  <w:divBdr>
                    <w:top w:val="none" w:sz="0" w:space="0" w:color="auto"/>
                    <w:left w:val="none" w:sz="0" w:space="0" w:color="auto"/>
                    <w:bottom w:val="none" w:sz="0" w:space="0" w:color="auto"/>
                    <w:right w:val="none" w:sz="0" w:space="0" w:color="auto"/>
                  </w:divBdr>
                  <w:divsChild>
                    <w:div w:id="1729842927">
                      <w:marLeft w:val="0"/>
                      <w:marRight w:val="0"/>
                      <w:marTop w:val="0"/>
                      <w:marBottom w:val="0"/>
                      <w:divBdr>
                        <w:top w:val="none" w:sz="0" w:space="0" w:color="auto"/>
                        <w:left w:val="none" w:sz="0" w:space="0" w:color="auto"/>
                        <w:bottom w:val="none" w:sz="0" w:space="0" w:color="auto"/>
                        <w:right w:val="none" w:sz="0" w:space="0" w:color="auto"/>
                      </w:divBdr>
                      <w:divsChild>
                        <w:div w:id="49122128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990210933">
                              <w:marLeft w:val="0"/>
                              <w:marRight w:val="0"/>
                              <w:marTop w:val="0"/>
                              <w:marBottom w:val="0"/>
                              <w:divBdr>
                                <w:top w:val="none" w:sz="0" w:space="0" w:color="auto"/>
                                <w:left w:val="none" w:sz="0" w:space="0" w:color="auto"/>
                                <w:bottom w:val="none" w:sz="0" w:space="0" w:color="auto"/>
                                <w:right w:val="none" w:sz="0" w:space="0" w:color="auto"/>
                              </w:divBdr>
                              <w:divsChild>
                                <w:div w:id="398752651">
                                  <w:marLeft w:val="0"/>
                                  <w:marRight w:val="0"/>
                                  <w:marTop w:val="0"/>
                                  <w:marBottom w:val="0"/>
                                  <w:divBdr>
                                    <w:top w:val="none" w:sz="0" w:space="0" w:color="auto"/>
                                    <w:left w:val="none" w:sz="0" w:space="0" w:color="auto"/>
                                    <w:bottom w:val="none" w:sz="0" w:space="0" w:color="auto"/>
                                    <w:right w:val="none" w:sz="0" w:space="0" w:color="auto"/>
                                  </w:divBdr>
                                  <w:divsChild>
                                    <w:div w:id="1584873664">
                                      <w:marLeft w:val="0"/>
                                      <w:marRight w:val="0"/>
                                      <w:marTop w:val="0"/>
                                      <w:marBottom w:val="0"/>
                                      <w:divBdr>
                                        <w:top w:val="none" w:sz="0" w:space="0" w:color="auto"/>
                                        <w:left w:val="none" w:sz="0" w:space="0" w:color="auto"/>
                                        <w:bottom w:val="none" w:sz="0" w:space="0" w:color="auto"/>
                                        <w:right w:val="none" w:sz="0" w:space="0" w:color="auto"/>
                                      </w:divBdr>
                                      <w:divsChild>
                                        <w:div w:id="25718988">
                                          <w:marLeft w:val="0"/>
                                          <w:marRight w:val="0"/>
                                          <w:marTop w:val="0"/>
                                          <w:marBottom w:val="0"/>
                                          <w:divBdr>
                                            <w:top w:val="none" w:sz="0" w:space="0" w:color="auto"/>
                                            <w:left w:val="none" w:sz="0" w:space="0" w:color="auto"/>
                                            <w:bottom w:val="none" w:sz="0" w:space="0" w:color="auto"/>
                                            <w:right w:val="none" w:sz="0" w:space="0" w:color="auto"/>
                                          </w:divBdr>
                                          <w:divsChild>
                                            <w:div w:id="12844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871597">
      <w:bodyDiv w:val="1"/>
      <w:marLeft w:val="0"/>
      <w:marRight w:val="0"/>
      <w:marTop w:val="0"/>
      <w:marBottom w:val="0"/>
      <w:divBdr>
        <w:top w:val="none" w:sz="0" w:space="0" w:color="auto"/>
        <w:left w:val="none" w:sz="0" w:space="0" w:color="auto"/>
        <w:bottom w:val="none" w:sz="0" w:space="0" w:color="auto"/>
        <w:right w:val="none" w:sz="0" w:space="0" w:color="auto"/>
      </w:divBdr>
      <w:divsChild>
        <w:div w:id="2040812921">
          <w:marLeft w:val="0"/>
          <w:marRight w:val="0"/>
          <w:marTop w:val="0"/>
          <w:marBottom w:val="0"/>
          <w:divBdr>
            <w:top w:val="none" w:sz="0" w:space="0" w:color="auto"/>
            <w:left w:val="none" w:sz="0" w:space="0" w:color="auto"/>
            <w:bottom w:val="none" w:sz="0" w:space="0" w:color="auto"/>
            <w:right w:val="none" w:sz="0" w:space="0" w:color="auto"/>
          </w:divBdr>
          <w:divsChild>
            <w:div w:id="1568688957">
              <w:marLeft w:val="0"/>
              <w:marRight w:val="0"/>
              <w:marTop w:val="0"/>
              <w:marBottom w:val="0"/>
              <w:divBdr>
                <w:top w:val="none" w:sz="0" w:space="0" w:color="auto"/>
                <w:left w:val="none" w:sz="0" w:space="0" w:color="auto"/>
                <w:bottom w:val="none" w:sz="0" w:space="0" w:color="auto"/>
                <w:right w:val="none" w:sz="0" w:space="0" w:color="auto"/>
              </w:divBdr>
              <w:divsChild>
                <w:div w:id="48380998">
                  <w:marLeft w:val="0"/>
                  <w:marRight w:val="0"/>
                  <w:marTop w:val="0"/>
                  <w:marBottom w:val="0"/>
                  <w:divBdr>
                    <w:top w:val="none" w:sz="0" w:space="0" w:color="auto"/>
                    <w:left w:val="none" w:sz="0" w:space="0" w:color="auto"/>
                    <w:bottom w:val="none" w:sz="0" w:space="0" w:color="auto"/>
                    <w:right w:val="none" w:sz="0" w:space="0" w:color="auto"/>
                  </w:divBdr>
                  <w:divsChild>
                    <w:div w:id="770079743">
                      <w:marLeft w:val="0"/>
                      <w:marRight w:val="0"/>
                      <w:marTop w:val="0"/>
                      <w:marBottom w:val="0"/>
                      <w:divBdr>
                        <w:top w:val="none" w:sz="0" w:space="0" w:color="auto"/>
                        <w:left w:val="none" w:sz="0" w:space="0" w:color="auto"/>
                        <w:bottom w:val="none" w:sz="0" w:space="0" w:color="auto"/>
                        <w:right w:val="none" w:sz="0" w:space="0" w:color="auto"/>
                      </w:divBdr>
                      <w:divsChild>
                        <w:div w:id="33943203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78846592">
                              <w:marLeft w:val="0"/>
                              <w:marRight w:val="0"/>
                              <w:marTop w:val="0"/>
                              <w:marBottom w:val="0"/>
                              <w:divBdr>
                                <w:top w:val="none" w:sz="0" w:space="0" w:color="auto"/>
                                <w:left w:val="none" w:sz="0" w:space="0" w:color="auto"/>
                                <w:bottom w:val="none" w:sz="0" w:space="0" w:color="auto"/>
                                <w:right w:val="none" w:sz="0" w:space="0" w:color="auto"/>
                              </w:divBdr>
                              <w:divsChild>
                                <w:div w:id="1767917275">
                                  <w:marLeft w:val="0"/>
                                  <w:marRight w:val="0"/>
                                  <w:marTop w:val="0"/>
                                  <w:marBottom w:val="0"/>
                                  <w:divBdr>
                                    <w:top w:val="none" w:sz="0" w:space="0" w:color="auto"/>
                                    <w:left w:val="none" w:sz="0" w:space="0" w:color="auto"/>
                                    <w:bottom w:val="none" w:sz="0" w:space="0" w:color="auto"/>
                                    <w:right w:val="none" w:sz="0" w:space="0" w:color="auto"/>
                                  </w:divBdr>
                                  <w:divsChild>
                                    <w:div w:id="757747787">
                                      <w:marLeft w:val="0"/>
                                      <w:marRight w:val="0"/>
                                      <w:marTop w:val="0"/>
                                      <w:marBottom w:val="0"/>
                                      <w:divBdr>
                                        <w:top w:val="none" w:sz="0" w:space="0" w:color="auto"/>
                                        <w:left w:val="none" w:sz="0" w:space="0" w:color="auto"/>
                                        <w:bottom w:val="none" w:sz="0" w:space="0" w:color="auto"/>
                                        <w:right w:val="none" w:sz="0" w:space="0" w:color="auto"/>
                                      </w:divBdr>
                                      <w:divsChild>
                                        <w:div w:id="1707754565">
                                          <w:marLeft w:val="0"/>
                                          <w:marRight w:val="0"/>
                                          <w:marTop w:val="0"/>
                                          <w:marBottom w:val="0"/>
                                          <w:divBdr>
                                            <w:top w:val="none" w:sz="0" w:space="0" w:color="auto"/>
                                            <w:left w:val="none" w:sz="0" w:space="0" w:color="auto"/>
                                            <w:bottom w:val="none" w:sz="0" w:space="0" w:color="auto"/>
                                            <w:right w:val="none" w:sz="0" w:space="0" w:color="auto"/>
                                          </w:divBdr>
                                          <w:divsChild>
                                            <w:div w:id="1794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393081">
      <w:bodyDiv w:val="1"/>
      <w:marLeft w:val="0"/>
      <w:marRight w:val="0"/>
      <w:marTop w:val="0"/>
      <w:marBottom w:val="0"/>
      <w:divBdr>
        <w:top w:val="none" w:sz="0" w:space="0" w:color="auto"/>
        <w:left w:val="none" w:sz="0" w:space="0" w:color="auto"/>
        <w:bottom w:val="none" w:sz="0" w:space="0" w:color="auto"/>
        <w:right w:val="none" w:sz="0" w:space="0" w:color="auto"/>
      </w:divBdr>
    </w:div>
    <w:div w:id="11556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4</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赵玉林</cp:lastModifiedBy>
  <cp:revision>332</cp:revision>
  <dcterms:created xsi:type="dcterms:W3CDTF">2015-07-17T09:49:00Z</dcterms:created>
  <dcterms:modified xsi:type="dcterms:W3CDTF">2017-10-24T03:44:00Z</dcterms:modified>
</cp:coreProperties>
</file>